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8A639B3">
      <w:pPr>
        <w:spacing w:line="500" w:lineRule="exact"/>
        <w:jc w:val="center"/>
        <w:rPr>
          <w:rFonts w:hint="eastAsia" w:ascii="宋体" w:hAnsi="宋体" w:cs="宋体"/>
          <w:b/>
          <w:bCs/>
          <w:sz w:val="32"/>
          <w:szCs w:val="30"/>
          <w:highlight w:val="none"/>
        </w:rPr>
      </w:pPr>
      <w:r>
        <w:rPr>
          <w:rFonts w:hint="eastAsia" w:ascii="宋体" w:hAnsi="宋体" w:cs="宋体"/>
          <w:b/>
          <w:bCs/>
          <w:sz w:val="32"/>
          <w:szCs w:val="30"/>
          <w:highlight w:val="none"/>
        </w:rPr>
        <w:t>关于XX加油站的租赁合作协议</w:t>
      </w:r>
    </w:p>
    <w:p w14:paraId="004E9B47">
      <w:pPr>
        <w:spacing w:line="500" w:lineRule="exact"/>
        <w:ind w:firstLine="480" w:firstLineChars="200"/>
        <w:rPr>
          <w:rFonts w:hint="eastAsia" w:ascii="宋体" w:hAnsi="宋体" w:cs="宋体"/>
          <w:highlight w:val="none"/>
        </w:rPr>
      </w:pPr>
    </w:p>
    <w:p w14:paraId="2BBF3278">
      <w:pPr>
        <w:spacing w:line="500" w:lineRule="exact"/>
        <w:ind w:firstLine="482" w:firstLineChars="200"/>
        <w:rPr>
          <w:rFonts w:hint="eastAsia" w:ascii="宋体" w:hAnsi="宋体" w:cs="宋体"/>
          <w:highlight w:val="none"/>
        </w:rPr>
      </w:pPr>
      <w:r>
        <w:rPr>
          <w:rFonts w:hint="eastAsia" w:ascii="宋体" w:hAnsi="宋体" w:cs="宋体"/>
          <w:b/>
          <w:highlight w:val="none"/>
        </w:rPr>
        <w:t>甲方：</w:t>
      </w:r>
      <w:r>
        <w:rPr>
          <w:rFonts w:hint="eastAsia" w:ascii="宋体" w:hAnsi="宋体" w:cs="宋体"/>
          <w:highlight w:val="none"/>
        </w:rPr>
        <w:t>（顺控方）</w:t>
      </w:r>
    </w:p>
    <w:p w14:paraId="62430D1E">
      <w:pPr>
        <w:spacing w:line="500" w:lineRule="exact"/>
        <w:ind w:firstLine="480" w:firstLineChars="200"/>
        <w:rPr>
          <w:rFonts w:hint="eastAsia" w:ascii="宋体" w:hAnsi="宋体" w:cs="宋体"/>
          <w:highlight w:val="none"/>
        </w:rPr>
      </w:pPr>
      <w:r>
        <w:rPr>
          <w:rFonts w:hint="eastAsia" w:ascii="宋体" w:hAnsi="宋体" w:cs="宋体"/>
          <w:highlight w:val="none"/>
        </w:rPr>
        <w:t>统一社会信用代码：</w:t>
      </w:r>
    </w:p>
    <w:p w14:paraId="3BCFD39B">
      <w:pPr>
        <w:spacing w:line="500" w:lineRule="exact"/>
        <w:ind w:firstLine="480" w:firstLineChars="200"/>
        <w:rPr>
          <w:rFonts w:hint="eastAsia" w:ascii="宋体" w:hAnsi="宋体" w:cs="宋体"/>
          <w:highlight w:val="none"/>
        </w:rPr>
      </w:pPr>
      <w:r>
        <w:rPr>
          <w:rFonts w:hint="eastAsia" w:ascii="宋体" w:hAnsi="宋体" w:cs="宋体"/>
          <w:highlight w:val="none"/>
        </w:rPr>
        <w:t>地址：</w:t>
      </w:r>
    </w:p>
    <w:p w14:paraId="644A8F75">
      <w:pPr>
        <w:spacing w:line="500" w:lineRule="exact"/>
        <w:ind w:firstLine="480" w:firstLineChars="200"/>
        <w:rPr>
          <w:rFonts w:hint="eastAsia" w:ascii="宋体" w:hAnsi="宋体" w:cs="宋体"/>
          <w:highlight w:val="none"/>
        </w:rPr>
      </w:pPr>
    </w:p>
    <w:p w14:paraId="46A75126">
      <w:pPr>
        <w:spacing w:line="500" w:lineRule="exact"/>
        <w:ind w:firstLine="482" w:firstLineChars="200"/>
        <w:rPr>
          <w:rFonts w:hint="eastAsia" w:ascii="宋体" w:hAnsi="宋体" w:cs="宋体"/>
          <w:highlight w:val="none"/>
        </w:rPr>
      </w:pPr>
      <w:r>
        <w:rPr>
          <w:rFonts w:hint="eastAsia" w:ascii="宋体" w:hAnsi="宋体" w:cs="宋体"/>
          <w:b/>
          <w:highlight w:val="none"/>
        </w:rPr>
        <w:t>乙方：</w:t>
      </w:r>
      <w:r>
        <w:rPr>
          <w:rFonts w:hint="eastAsia" w:ascii="宋体" w:hAnsi="宋体" w:cs="宋体"/>
          <w:highlight w:val="none"/>
        </w:rPr>
        <w:t>（合作人）</w:t>
      </w:r>
    </w:p>
    <w:p w14:paraId="420F73CB">
      <w:pPr>
        <w:spacing w:line="500" w:lineRule="exact"/>
        <w:ind w:firstLine="480" w:firstLineChars="200"/>
        <w:rPr>
          <w:rFonts w:hint="eastAsia" w:ascii="宋体" w:hAnsi="宋体" w:cs="宋体"/>
          <w:highlight w:val="none"/>
        </w:rPr>
      </w:pPr>
      <w:r>
        <w:rPr>
          <w:rFonts w:hint="eastAsia" w:ascii="宋体" w:hAnsi="宋体" w:cs="宋体"/>
          <w:highlight w:val="none"/>
        </w:rPr>
        <w:t>统一社会信用代码：</w:t>
      </w:r>
    </w:p>
    <w:p w14:paraId="353DAA8D">
      <w:pPr>
        <w:spacing w:line="500" w:lineRule="exact"/>
        <w:ind w:firstLine="480" w:firstLineChars="200"/>
        <w:rPr>
          <w:rFonts w:hint="eastAsia" w:ascii="宋体" w:hAnsi="宋体" w:cs="宋体"/>
          <w:highlight w:val="none"/>
        </w:rPr>
      </w:pPr>
      <w:r>
        <w:rPr>
          <w:rFonts w:hint="eastAsia" w:ascii="宋体" w:hAnsi="宋体" w:cs="宋体"/>
          <w:highlight w:val="none"/>
        </w:rPr>
        <w:t>地址：</w:t>
      </w:r>
    </w:p>
    <w:p w14:paraId="527AD18C">
      <w:pPr>
        <w:spacing w:line="500" w:lineRule="exact"/>
        <w:ind w:firstLine="480" w:firstLineChars="200"/>
        <w:rPr>
          <w:rFonts w:hint="eastAsia" w:ascii="宋体" w:hAnsi="宋体" w:cs="宋体"/>
          <w:highlight w:val="none"/>
        </w:rPr>
      </w:pPr>
      <w:r>
        <w:rPr>
          <w:rFonts w:hint="eastAsia" w:ascii="宋体" w:hAnsi="宋体" w:cs="宋体"/>
          <w:highlight w:val="none"/>
        </w:rPr>
        <w:t>（甲、乙方以下合称“双方”）</w:t>
      </w:r>
    </w:p>
    <w:p w14:paraId="2CD824E3">
      <w:pPr>
        <w:spacing w:line="500" w:lineRule="exact"/>
        <w:ind w:firstLine="480" w:firstLineChars="200"/>
        <w:rPr>
          <w:rFonts w:hint="eastAsia" w:ascii="宋体" w:hAnsi="宋体" w:cs="宋体"/>
          <w:color w:val="1B1B1B"/>
          <w:kern w:val="0"/>
          <w:highlight w:val="none"/>
        </w:rPr>
      </w:pPr>
    </w:p>
    <w:p w14:paraId="2853E425">
      <w:pPr>
        <w:spacing w:line="500" w:lineRule="exact"/>
        <w:rPr>
          <w:rFonts w:hint="eastAsia" w:ascii="宋体" w:hAnsi="宋体" w:cs="宋体"/>
          <w:color w:val="1B1B1B"/>
          <w:kern w:val="0"/>
          <w:highlight w:val="none"/>
        </w:rPr>
      </w:pPr>
      <w:r>
        <w:rPr>
          <w:rFonts w:hint="eastAsia" w:ascii="宋体" w:hAnsi="宋体" w:cs="宋体"/>
          <w:color w:val="1B1B1B"/>
          <w:kern w:val="0"/>
          <w:highlight w:val="none"/>
        </w:rPr>
        <w:t>鉴于：</w:t>
      </w:r>
    </w:p>
    <w:p w14:paraId="154C1F33">
      <w:pPr>
        <w:wordWrap w:val="0"/>
        <w:spacing w:line="500" w:lineRule="exact"/>
        <w:ind w:firstLine="480" w:firstLineChars="200"/>
        <w:rPr>
          <w:rFonts w:hint="eastAsia" w:ascii="宋体" w:hAnsi="宋体" w:cs="宋体"/>
          <w:color w:val="1B1B1B"/>
          <w:kern w:val="0"/>
          <w:highlight w:val="none"/>
        </w:rPr>
      </w:pPr>
      <w:r>
        <w:rPr>
          <w:rFonts w:hint="eastAsia" w:ascii="宋体" w:hAnsi="宋体" w:cs="宋体"/>
          <w:color w:val="1B1B1B"/>
          <w:kern w:val="0"/>
          <w:highlight w:val="none"/>
        </w:rPr>
        <w:t>甲方系于合作项目所在地（顺德区）注册设立的国有全资公司，乙方熟悉并具备丰富的加油站经营运作经验。现为充分发挥双方各自优势，双方同意共同承租经营</w:t>
      </w:r>
      <w:r>
        <w:rPr>
          <w:rFonts w:hint="eastAsia" w:ascii="宋体" w:hAnsi="宋体" w:cs="宋体"/>
          <w:color w:val="1B1B1B"/>
          <w:kern w:val="0"/>
          <w:highlight w:val="none"/>
          <w:u w:val="single"/>
        </w:rPr>
        <w:t xml:space="preserve">           </w:t>
      </w:r>
      <w:r>
        <w:rPr>
          <w:rFonts w:hint="eastAsia" w:ascii="宋体" w:hAnsi="宋体" w:cs="宋体"/>
          <w:color w:val="1B1B1B"/>
          <w:kern w:val="0"/>
          <w:highlight w:val="none"/>
        </w:rPr>
        <w:t>加油站（以下简称“加油站项目”）事宜，并按本协议约定开展加油站项目的合作联营。双方根据《中华人民共和国民法典》</w:t>
      </w:r>
      <w:bookmarkStart w:id="3" w:name="_GoBack"/>
      <w:bookmarkEnd w:id="3"/>
      <w:r>
        <w:rPr>
          <w:rFonts w:hint="eastAsia" w:ascii="宋体" w:hAnsi="宋体" w:cs="宋体"/>
          <w:color w:val="1B1B1B"/>
          <w:kern w:val="0"/>
          <w:highlight w:val="none"/>
        </w:rPr>
        <w:t>等法律法规，经友好协商一致，达成如下协议，以资共同信守：</w:t>
      </w:r>
    </w:p>
    <w:p w14:paraId="1E043989">
      <w:pPr>
        <w:numPr>
          <w:ilvl w:val="255"/>
          <w:numId w:val="0"/>
        </w:numPr>
        <w:tabs>
          <w:tab w:val="left" w:pos="1442"/>
        </w:tabs>
        <w:adjustRightInd w:val="0"/>
        <w:snapToGrid w:val="0"/>
        <w:spacing w:line="500" w:lineRule="exact"/>
        <w:ind w:left="2977"/>
        <w:rPr>
          <w:rFonts w:hint="eastAsia" w:ascii="宋体" w:hAnsi="宋体"/>
          <w:b/>
          <w:highlight w:val="none"/>
        </w:rPr>
      </w:pPr>
    </w:p>
    <w:p w14:paraId="7EE834AA">
      <w:pPr>
        <w:numPr>
          <w:ilvl w:val="0"/>
          <w:numId w:val="1"/>
        </w:numPr>
        <w:tabs>
          <w:tab w:val="left" w:pos="1442"/>
        </w:tabs>
        <w:adjustRightInd w:val="0"/>
        <w:snapToGrid w:val="0"/>
        <w:spacing w:line="500" w:lineRule="exact"/>
        <w:ind w:left="0" w:firstLine="0"/>
        <w:outlineLvl w:val="0"/>
        <w:rPr>
          <w:rFonts w:hint="eastAsia" w:ascii="宋体" w:hAnsi="宋体"/>
          <w:b/>
          <w:highlight w:val="none"/>
        </w:rPr>
      </w:pPr>
      <w:r>
        <w:rPr>
          <w:rFonts w:hint="eastAsia" w:ascii="宋体" w:hAnsi="宋体"/>
          <w:b/>
          <w:highlight w:val="none"/>
        </w:rPr>
        <w:t>加油站物业的租赁与管理</w:t>
      </w:r>
    </w:p>
    <w:p w14:paraId="36AE737A">
      <w:pPr>
        <w:pStyle w:val="12"/>
        <w:numPr>
          <w:ilvl w:val="0"/>
          <w:numId w:val="2"/>
        </w:numPr>
        <w:spacing w:line="500" w:lineRule="exact"/>
        <w:ind w:left="0" w:firstLine="480"/>
        <w:rPr>
          <w:rFonts w:hint="eastAsia" w:ascii="宋体" w:hAnsi="宋体"/>
          <w:highlight w:val="none"/>
        </w:rPr>
      </w:pPr>
      <w:r>
        <w:rPr>
          <w:rFonts w:hint="eastAsia" w:ascii="宋体" w:hAnsi="宋体"/>
          <w:highlight w:val="none"/>
        </w:rPr>
        <w:t>甲乙双方</w:t>
      </w:r>
      <w:r>
        <w:rPr>
          <w:rFonts w:hint="eastAsia" w:ascii="宋体" w:hAnsi="宋体" w:cs="宋体"/>
          <w:color w:val="1B1B1B"/>
          <w:kern w:val="0"/>
          <w:highlight w:val="none"/>
        </w:rPr>
        <w:t>作为</w:t>
      </w:r>
      <w:r>
        <w:rPr>
          <w:rFonts w:hint="eastAsia" w:ascii="宋体" w:hAnsi="宋体"/>
          <w:highlight w:val="none"/>
        </w:rPr>
        <w:t>共同承租人向</w:t>
      </w:r>
      <w:r>
        <w:rPr>
          <w:rFonts w:hint="eastAsia" w:ascii="宋体" w:hAnsi="宋体"/>
          <w:highlight w:val="none"/>
          <w:u w:val="single"/>
        </w:rPr>
        <w:t xml:space="preserve">                     </w:t>
      </w:r>
      <w:r>
        <w:rPr>
          <w:rFonts w:hint="eastAsia" w:ascii="宋体" w:hAnsi="宋体"/>
          <w:highlight w:val="none"/>
        </w:rPr>
        <w:t>（以下称“产权方”）</w:t>
      </w:r>
      <w:r>
        <w:rPr>
          <w:rFonts w:hint="eastAsia" w:ascii="宋体" w:hAnsi="宋体"/>
          <w:highlight w:val="none"/>
        </w:rPr>
        <w:t>及</w:t>
      </w:r>
      <w:r>
        <w:rPr>
          <w:rFonts w:hint="eastAsia" w:ascii="宋体" w:hAnsi="宋体"/>
          <w:highlight w:val="none"/>
          <w:u w:val="single"/>
        </w:rPr>
        <w:t xml:space="preserve">                   </w:t>
      </w:r>
      <w:r>
        <w:rPr>
          <w:rFonts w:hint="eastAsia" w:ascii="宋体" w:hAnsi="宋体"/>
          <w:highlight w:val="none"/>
        </w:rPr>
        <w:t>（以下简称“管理方”）</w:t>
      </w:r>
      <w:r>
        <w:rPr>
          <w:rFonts w:hint="eastAsia" w:ascii="宋体" w:hAnsi="宋体"/>
          <w:highlight w:val="none"/>
        </w:rPr>
        <w:t>承租坐落于</w:t>
      </w:r>
      <w:r>
        <w:rPr>
          <w:rFonts w:hint="eastAsia" w:ascii="宋体" w:hAnsi="宋体"/>
          <w:highlight w:val="none"/>
          <w:u w:val="single"/>
        </w:rPr>
        <w:t xml:space="preserve">                     </w:t>
      </w:r>
      <w:r>
        <w:rPr>
          <w:rFonts w:hint="eastAsia" w:ascii="宋体" w:hAnsi="宋体"/>
          <w:highlight w:val="none"/>
        </w:rPr>
        <w:t>的物业（以下称“加油站物业”）用于开展加油站项目的经营，并与加油站物业的产权方</w:t>
      </w:r>
      <w:r>
        <w:rPr>
          <w:rFonts w:hint="eastAsia" w:ascii="宋体" w:hAnsi="宋体"/>
          <w:highlight w:val="none"/>
        </w:rPr>
        <w:t>和管理方</w:t>
      </w:r>
      <w:r>
        <w:rPr>
          <w:rFonts w:hint="eastAsia" w:ascii="宋体" w:hAnsi="宋体"/>
          <w:highlight w:val="none"/>
        </w:rPr>
        <w:t>签署《</w:t>
      </w:r>
      <w:r>
        <w:rPr>
          <w:rFonts w:hint="eastAsia" w:ascii="宋体" w:hAnsi="宋体"/>
          <w:highlight w:val="none"/>
          <w:u w:val="single"/>
        </w:rPr>
        <w:t xml:space="preserve">    </w:t>
      </w:r>
      <w:r>
        <w:rPr>
          <w:rFonts w:ascii="宋体" w:hAnsi="宋体"/>
          <w:highlight w:val="none"/>
          <w:u w:val="single"/>
        </w:rPr>
        <w:t xml:space="preserve">           </w:t>
      </w:r>
      <w:r>
        <w:rPr>
          <w:rFonts w:hint="eastAsia" w:ascii="宋体" w:hAnsi="宋体"/>
          <w:highlight w:val="none"/>
        </w:rPr>
        <w:t>》（以下简称“《租赁合同》”），其中《租赁合同》项下的租金由乙方根据《租赁合同》的约定支付并收取发票，《租赁合同》项下的租赁保证金由甲方根据《租赁合同》的约定支付并收取收据。</w:t>
      </w:r>
    </w:p>
    <w:p w14:paraId="001E209B">
      <w:pPr>
        <w:pStyle w:val="12"/>
        <w:numPr>
          <w:ilvl w:val="0"/>
          <w:numId w:val="2"/>
        </w:numPr>
        <w:spacing w:line="500" w:lineRule="exact"/>
        <w:ind w:left="0" w:firstLine="480"/>
        <w:rPr>
          <w:rFonts w:hint="eastAsia" w:ascii="宋体" w:hAnsi="宋体"/>
          <w:highlight w:val="none"/>
        </w:rPr>
      </w:pPr>
      <w:bookmarkStart w:id="0" w:name="OLE_LINK2"/>
      <w:r>
        <w:rPr>
          <w:rFonts w:hint="eastAsia" w:ascii="宋体" w:hAnsi="宋体"/>
          <w:highlight w:val="none"/>
        </w:rPr>
        <w:t>乙方承诺，除租赁保证金的支付事宜外，乙方应负责履行《租赁合同》项下承租人的全部义务并承担相应费用，包括但不限于租金支付、按产权方</w:t>
      </w:r>
      <w:r>
        <w:rPr>
          <w:rFonts w:hint="eastAsia" w:ascii="宋体" w:hAnsi="宋体"/>
          <w:highlight w:val="none"/>
        </w:rPr>
        <w:t>及管理方</w:t>
      </w:r>
      <w:r>
        <w:rPr>
          <w:rFonts w:hint="eastAsia" w:ascii="宋体" w:hAnsi="宋体"/>
          <w:highlight w:val="none"/>
        </w:rPr>
        <w:t>管理要求开展加油站物业的照管及维护、安全生产、配合证照办理、保险购买、移交等。乙方不得以履行承租人义务为由向甲方主张任何权利。因乙方未及时履行义务导致产权方</w:t>
      </w:r>
      <w:r>
        <w:rPr>
          <w:rFonts w:hint="eastAsia" w:ascii="宋体" w:hAnsi="宋体"/>
          <w:highlight w:val="none"/>
        </w:rPr>
        <w:t>或管理方</w:t>
      </w:r>
      <w:r>
        <w:rPr>
          <w:rFonts w:hint="eastAsia" w:ascii="宋体" w:hAnsi="宋体"/>
          <w:highlight w:val="none"/>
        </w:rPr>
        <w:t>根据《租赁合同》扣减租赁保证金的，乙方应在收到甲方通知后5天内，向甲方等额支付被扣减租赁保证金的金额；若乙方拖欠租金或其他费用超过甲方向产权</w:t>
      </w:r>
      <w:r>
        <w:rPr>
          <w:rFonts w:hint="eastAsia" w:ascii="宋体" w:hAnsi="宋体"/>
          <w:highlight w:val="none"/>
        </w:rPr>
        <w:t>方</w:t>
      </w:r>
      <w:r>
        <w:rPr>
          <w:rFonts w:hint="eastAsia" w:ascii="宋体" w:hAnsi="宋体"/>
          <w:highlight w:val="none"/>
        </w:rPr>
        <w:t>已缴纳的租赁保证金的，甲方有权单方面解除本协议；因乙方未全面履行《租赁合同》项下承租人义务所产生的法律责任（包括但不限于产权方</w:t>
      </w:r>
      <w:r>
        <w:rPr>
          <w:rFonts w:hint="eastAsia" w:ascii="宋体" w:hAnsi="宋体"/>
          <w:highlight w:val="none"/>
        </w:rPr>
        <w:t>或管理方</w:t>
      </w:r>
      <w:r>
        <w:rPr>
          <w:rFonts w:hint="eastAsia" w:ascii="宋体" w:hAnsi="宋体"/>
          <w:highlight w:val="none"/>
        </w:rPr>
        <w:t>主张的违约责任、造成产权方</w:t>
      </w:r>
      <w:r>
        <w:rPr>
          <w:rFonts w:hint="eastAsia" w:ascii="宋体" w:hAnsi="宋体"/>
          <w:highlight w:val="none"/>
        </w:rPr>
        <w:t>、管理方</w:t>
      </w:r>
      <w:r>
        <w:rPr>
          <w:rFonts w:hint="eastAsia" w:ascii="宋体" w:hAnsi="宋体"/>
          <w:highlight w:val="none"/>
        </w:rPr>
        <w:t>或第三方损失的损害赔偿责任、行政处罚等），由乙方承担全部责任并承担全部费用，因此造成甲方损失的，应赔偿甲方的全部损失（包括但不限于产权方扣减的租赁保证金、甲方垫付的费用、甲方维权费用等）。</w:t>
      </w:r>
    </w:p>
    <w:bookmarkEnd w:id="0"/>
    <w:p w14:paraId="55F672DA">
      <w:pPr>
        <w:pStyle w:val="12"/>
        <w:numPr>
          <w:ilvl w:val="0"/>
          <w:numId w:val="2"/>
        </w:numPr>
        <w:spacing w:line="500" w:lineRule="exact"/>
        <w:ind w:left="0" w:firstLine="480"/>
        <w:rPr>
          <w:rFonts w:hint="eastAsia" w:ascii="宋体" w:hAnsi="宋体"/>
          <w:highlight w:val="none"/>
        </w:rPr>
      </w:pPr>
      <w:r>
        <w:rPr>
          <w:rFonts w:hint="eastAsia" w:ascii="宋体" w:hAnsi="宋体"/>
          <w:highlight w:val="none"/>
        </w:rPr>
        <w:t>任一方根据《租赁合同》的约定向产权方</w:t>
      </w:r>
      <w:r>
        <w:rPr>
          <w:rFonts w:hint="eastAsia" w:ascii="宋体" w:hAnsi="宋体"/>
          <w:highlight w:val="none"/>
        </w:rPr>
        <w:t>、管理方</w:t>
      </w:r>
      <w:r>
        <w:rPr>
          <w:rFonts w:hint="eastAsia" w:ascii="宋体" w:hAnsi="宋体"/>
          <w:highlight w:val="none"/>
        </w:rPr>
        <w:t>或相关方对接的（包括但不限于主张权利、提交</w:t>
      </w:r>
      <w:r>
        <w:rPr>
          <w:rFonts w:hint="eastAsia" w:ascii="宋体" w:hAnsi="宋体" w:cs="宋体"/>
          <w:color w:val="1B1B1B"/>
          <w:kern w:val="0"/>
          <w:highlight w:val="none"/>
        </w:rPr>
        <w:t>申请</w:t>
      </w:r>
      <w:r>
        <w:rPr>
          <w:rFonts w:hint="eastAsia" w:ascii="宋体" w:hAnsi="宋体"/>
          <w:highlight w:val="none"/>
        </w:rPr>
        <w:t>、往来沟通等），应事先经过双方协商，若双方经协商未能取得一致意见的，应以甲方意见为准。</w:t>
      </w:r>
    </w:p>
    <w:p w14:paraId="43A0D20B">
      <w:pPr>
        <w:pStyle w:val="12"/>
        <w:numPr>
          <w:ilvl w:val="0"/>
          <w:numId w:val="2"/>
        </w:numPr>
        <w:spacing w:line="500" w:lineRule="exact"/>
        <w:ind w:left="0" w:firstLine="480"/>
        <w:rPr>
          <w:rFonts w:hint="eastAsia" w:ascii="宋体" w:hAnsi="宋体"/>
          <w:highlight w:val="none"/>
        </w:rPr>
      </w:pPr>
      <w:r>
        <w:rPr>
          <w:rFonts w:hint="eastAsia" w:ascii="宋体" w:hAnsi="宋体"/>
          <w:highlight w:val="none"/>
        </w:rPr>
        <w:t>根据《租赁合同》的约定承租方有权向产权方</w:t>
      </w:r>
      <w:r>
        <w:rPr>
          <w:rFonts w:hint="eastAsia" w:ascii="宋体" w:hAnsi="宋体"/>
          <w:highlight w:val="none"/>
        </w:rPr>
        <w:t>、管理方</w:t>
      </w:r>
      <w:r>
        <w:rPr>
          <w:rFonts w:hint="eastAsia" w:ascii="宋体" w:hAnsi="宋体"/>
          <w:highlight w:val="none"/>
        </w:rPr>
        <w:t>或相关方取得退款、补偿、赔偿等利益的，该等</w:t>
      </w:r>
      <w:r>
        <w:rPr>
          <w:rFonts w:hint="eastAsia" w:ascii="宋体" w:hAnsi="宋体" w:cs="宋体"/>
          <w:color w:val="1B1B1B"/>
          <w:kern w:val="0"/>
          <w:highlight w:val="none"/>
        </w:rPr>
        <w:t>利益</w:t>
      </w:r>
      <w:r>
        <w:rPr>
          <w:rFonts w:hint="eastAsia" w:ascii="宋体" w:hAnsi="宋体"/>
          <w:highlight w:val="none"/>
        </w:rPr>
        <w:t>由双方按照相应事项的投入成本比例分配，获得利益超过投入成本的，超出部分（若有）由双方按5</w:t>
      </w:r>
      <w:r>
        <w:rPr>
          <w:rFonts w:ascii="宋体" w:hAnsi="宋体"/>
          <w:highlight w:val="none"/>
        </w:rPr>
        <w:t>0%</w:t>
      </w:r>
      <w:r>
        <w:rPr>
          <w:rFonts w:hint="eastAsia" w:ascii="宋体" w:hAnsi="宋体"/>
          <w:highlight w:val="none"/>
        </w:rPr>
        <w:t>比例分配。</w:t>
      </w:r>
    </w:p>
    <w:p w14:paraId="47143292">
      <w:pPr>
        <w:pStyle w:val="12"/>
        <w:numPr>
          <w:ilvl w:val="0"/>
          <w:numId w:val="2"/>
        </w:numPr>
        <w:tabs>
          <w:tab w:val="left" w:pos="1442"/>
        </w:tabs>
        <w:spacing w:line="500" w:lineRule="exact"/>
        <w:ind w:left="0" w:firstLine="480"/>
        <w:outlineLvl w:val="0"/>
        <w:rPr>
          <w:rFonts w:hint="eastAsia" w:ascii="宋体" w:hAnsi="宋体"/>
          <w:highlight w:val="none"/>
        </w:rPr>
      </w:pPr>
      <w:r>
        <w:rPr>
          <w:rFonts w:hint="eastAsia" w:ascii="宋体" w:hAnsi="宋体"/>
          <w:highlight w:val="none"/>
        </w:rPr>
        <w:t>乙方逾期向产权方</w:t>
      </w:r>
      <w:r>
        <w:rPr>
          <w:rFonts w:hint="eastAsia" w:ascii="宋体" w:hAnsi="宋体"/>
          <w:highlight w:val="none"/>
        </w:rPr>
        <w:t>、管理方或相关方</w:t>
      </w:r>
      <w:r>
        <w:rPr>
          <w:rFonts w:hint="eastAsia" w:ascii="宋体" w:hAnsi="宋体"/>
          <w:highlight w:val="none"/>
        </w:rPr>
        <w:t>支付租金或其他应付费用（包括但不限于行政罚款、第三方赔偿等）的，甲方有权在根据本协议约定应向乙方支付的分成收入中直接扣减乙方应付未付的金额，并以该等扣减金额直接向产权方</w:t>
      </w:r>
      <w:r>
        <w:rPr>
          <w:rFonts w:hint="eastAsia" w:ascii="宋体" w:hAnsi="宋体"/>
          <w:highlight w:val="none"/>
        </w:rPr>
        <w:t>、管理方</w:t>
      </w:r>
      <w:r>
        <w:rPr>
          <w:rFonts w:hint="eastAsia" w:ascii="宋体" w:hAnsi="宋体"/>
          <w:highlight w:val="none"/>
        </w:rPr>
        <w:t>或相关方支付欠付租金、其他应付费用，该等情形下视为甲方已向乙方足额支付分成收入，且甲方有权要求乙方仍以结算周期内应收分成金额向甲方开具足额发票，如乙方未按时开具发票而造成甲方于当期报税周期内产生利益受损的，乙方应按照未开具发票金额的25%向甲方支付违约金，且甲方有权单方面解除本协议。</w:t>
      </w:r>
    </w:p>
    <w:p w14:paraId="32938423">
      <w:pPr>
        <w:pStyle w:val="12"/>
        <w:adjustRightInd w:val="0"/>
        <w:snapToGrid w:val="0"/>
        <w:spacing w:line="500" w:lineRule="exact"/>
        <w:ind w:left="480" w:leftChars="200" w:firstLine="0" w:firstLineChars="0"/>
        <w:rPr>
          <w:rFonts w:hint="eastAsia" w:ascii="宋体" w:hAnsi="宋体"/>
          <w:b/>
          <w:highlight w:val="none"/>
        </w:rPr>
      </w:pPr>
    </w:p>
    <w:p w14:paraId="7A24EC34">
      <w:pPr>
        <w:numPr>
          <w:ilvl w:val="0"/>
          <w:numId w:val="1"/>
        </w:numPr>
        <w:tabs>
          <w:tab w:val="left" w:pos="1442"/>
        </w:tabs>
        <w:adjustRightInd w:val="0"/>
        <w:snapToGrid w:val="0"/>
        <w:spacing w:line="500" w:lineRule="exact"/>
        <w:ind w:left="0" w:firstLine="0"/>
        <w:outlineLvl w:val="0"/>
        <w:rPr>
          <w:rFonts w:hint="eastAsia" w:ascii="宋体" w:hAnsi="宋体"/>
          <w:b/>
          <w:highlight w:val="none"/>
        </w:rPr>
      </w:pPr>
      <w:r>
        <w:rPr>
          <w:rFonts w:hint="eastAsia" w:ascii="宋体" w:hAnsi="宋体"/>
          <w:b/>
          <w:highlight w:val="none"/>
        </w:rPr>
        <w:t>合作联营的基本内容</w:t>
      </w:r>
    </w:p>
    <w:p w14:paraId="7693039C">
      <w:pPr>
        <w:spacing w:line="500" w:lineRule="exact"/>
        <w:ind w:firstLine="480" w:firstLineChars="200"/>
        <w:rPr>
          <w:rFonts w:hint="eastAsia" w:ascii="宋体" w:hAnsi="宋体" w:cs="宋体"/>
          <w:color w:val="1B1B1B"/>
          <w:kern w:val="0"/>
          <w:highlight w:val="none"/>
        </w:rPr>
      </w:pPr>
      <w:r>
        <w:rPr>
          <w:rFonts w:hint="eastAsia" w:ascii="宋体" w:hAnsi="宋体" w:cs="宋体"/>
          <w:color w:val="1B1B1B"/>
          <w:kern w:val="0"/>
          <w:highlight w:val="none"/>
        </w:rPr>
        <w:t>本次合作联营根据以下基本内容开展，双方应根据本协议的约定具体实施：</w:t>
      </w:r>
    </w:p>
    <w:p w14:paraId="100C75DC">
      <w:pPr>
        <w:pStyle w:val="12"/>
        <w:numPr>
          <w:ilvl w:val="0"/>
          <w:numId w:val="3"/>
        </w:numPr>
        <w:spacing w:line="500" w:lineRule="exact"/>
        <w:ind w:left="0" w:firstLine="420"/>
        <w:rPr>
          <w:rFonts w:hint="eastAsia" w:ascii="宋体" w:hAnsi="宋体" w:cs="宋体"/>
          <w:color w:val="1B1B1B"/>
          <w:kern w:val="0"/>
          <w:highlight w:val="none"/>
        </w:rPr>
      </w:pPr>
      <w:r>
        <w:rPr>
          <w:rFonts w:hint="eastAsia" w:ascii="宋体" w:hAnsi="宋体" w:cs="宋体"/>
          <w:color w:val="1B1B1B"/>
          <w:kern w:val="0"/>
          <w:highlight w:val="none"/>
        </w:rPr>
        <w:t>双方作为共同承租人承租加油站物业用于开展加油站项目的经营，加油站项目的经营范围包括成品油零售经营、危险化学品经营、润滑油销售、日用百货销售、药品零售、食品销售、烟草制品零售，以及其他与加油站常规经营业务相关的经营范围。</w:t>
      </w:r>
    </w:p>
    <w:p w14:paraId="35526D1E">
      <w:pPr>
        <w:pStyle w:val="12"/>
        <w:numPr>
          <w:ilvl w:val="0"/>
          <w:numId w:val="3"/>
        </w:numPr>
        <w:spacing w:line="500" w:lineRule="exact"/>
        <w:ind w:left="0" w:firstLine="480"/>
        <w:rPr>
          <w:rFonts w:hint="eastAsia" w:ascii="宋体" w:hAnsi="宋体" w:cs="宋体"/>
          <w:color w:val="1B1B1B"/>
          <w:kern w:val="0"/>
          <w:highlight w:val="none"/>
        </w:rPr>
      </w:pPr>
      <w:r>
        <w:rPr>
          <w:rFonts w:hint="eastAsia" w:ascii="宋体" w:hAnsi="宋体" w:cs="宋体"/>
          <w:color w:val="1B1B1B"/>
          <w:kern w:val="0"/>
          <w:highlight w:val="none"/>
        </w:rPr>
        <w:t>加油站物业租金：大写人民币</w:t>
      </w:r>
      <w:r>
        <w:rPr>
          <w:rFonts w:hint="eastAsia" w:ascii="宋体" w:hAnsi="宋体" w:cs="宋体"/>
          <w:color w:val="1B1B1B"/>
          <w:kern w:val="0"/>
          <w:highlight w:val="none"/>
          <w:u w:val="single"/>
        </w:rPr>
        <w:t xml:space="preserve">         </w:t>
      </w:r>
      <w:r>
        <w:rPr>
          <w:rFonts w:hint="eastAsia" w:ascii="宋体" w:hAnsi="宋体" w:cs="宋体"/>
          <w:color w:val="1B1B1B"/>
          <w:kern w:val="0"/>
          <w:highlight w:val="none"/>
        </w:rPr>
        <w:t>元整（小写：¥</w:t>
      </w:r>
      <w:r>
        <w:rPr>
          <w:rFonts w:hint="eastAsia" w:ascii="宋体" w:hAnsi="宋体" w:cs="宋体"/>
          <w:color w:val="1B1B1B"/>
          <w:kern w:val="0"/>
          <w:highlight w:val="none"/>
          <w:u w:val="single"/>
        </w:rPr>
        <w:t xml:space="preserve">        </w:t>
      </w:r>
      <w:r>
        <w:rPr>
          <w:rFonts w:hint="eastAsia" w:ascii="宋体" w:hAnsi="宋体" w:cs="宋体"/>
          <w:color w:val="1B1B1B"/>
          <w:kern w:val="0"/>
          <w:highlight w:val="none"/>
        </w:rPr>
        <w:t>.00元）。</w:t>
      </w:r>
    </w:p>
    <w:p w14:paraId="393DF634">
      <w:pPr>
        <w:pStyle w:val="12"/>
        <w:numPr>
          <w:ilvl w:val="0"/>
          <w:numId w:val="3"/>
        </w:numPr>
        <w:spacing w:line="500" w:lineRule="exact"/>
        <w:ind w:left="0" w:firstLine="480"/>
        <w:rPr>
          <w:rFonts w:hint="eastAsia" w:ascii="宋体" w:hAnsi="宋体" w:cs="宋体"/>
          <w:color w:val="1B1B1B"/>
          <w:kern w:val="0"/>
          <w:highlight w:val="none"/>
        </w:rPr>
      </w:pPr>
      <w:r>
        <w:rPr>
          <w:rFonts w:hint="eastAsia" w:ascii="宋体" w:hAnsi="宋体" w:cs="宋体"/>
          <w:color w:val="1B1B1B"/>
          <w:kern w:val="0"/>
          <w:highlight w:val="none"/>
        </w:rPr>
        <w:t>合作主要内容：加油站项目以甲方作为经营主体办理开展成品油经营业务的必要行政许可，并由甲方开设加油站项目成品油经营的相关收支结算银行账户，甲方主要负责牵头成品油的销售经营、乙方主要负责自筹资金开展成品油的对外采购付款和日常经营；本加油站项目内非成品油经营活动由乙方负责开展，由乙方开设相应的收支结算银行账户，并负责相应的收款和付款。</w:t>
      </w:r>
    </w:p>
    <w:p w14:paraId="0317BE67">
      <w:pPr>
        <w:pStyle w:val="12"/>
        <w:numPr>
          <w:ilvl w:val="0"/>
          <w:numId w:val="3"/>
        </w:numPr>
        <w:spacing w:line="500" w:lineRule="exact"/>
        <w:ind w:left="0" w:firstLine="480"/>
        <w:rPr>
          <w:rFonts w:hint="eastAsia" w:ascii="宋体" w:hAnsi="宋体" w:cs="宋体"/>
          <w:color w:val="1B1B1B"/>
          <w:kern w:val="0"/>
          <w:highlight w:val="none"/>
        </w:rPr>
      </w:pPr>
      <w:r>
        <w:rPr>
          <w:rFonts w:hint="eastAsia" w:ascii="宋体" w:hAnsi="宋体" w:cs="宋体"/>
          <w:color w:val="1B1B1B"/>
          <w:kern w:val="0"/>
          <w:highlight w:val="none"/>
        </w:rPr>
        <w:t>甲乙双方根据本协议分工进行加油站项目的经营管理，其中加油站项目内场所、设施（含储存设施）及建筑物按照行业标准进行管理，配备必要管理人员进行监督。甲乙双方各自承担相应的人力成本；双方按本协议约定对本加油站项目的经营收入进行分成。</w:t>
      </w:r>
    </w:p>
    <w:p w14:paraId="2BAD14DF">
      <w:pPr>
        <w:spacing w:line="500" w:lineRule="exact"/>
        <w:rPr>
          <w:rFonts w:hint="eastAsia" w:ascii="宋体" w:hAnsi="宋体" w:cs="宋体"/>
          <w:color w:val="1B1B1B"/>
          <w:kern w:val="0"/>
          <w:highlight w:val="none"/>
        </w:rPr>
      </w:pPr>
    </w:p>
    <w:p w14:paraId="1740282D">
      <w:pPr>
        <w:numPr>
          <w:ilvl w:val="0"/>
          <w:numId w:val="1"/>
        </w:numPr>
        <w:tabs>
          <w:tab w:val="left" w:pos="1442"/>
        </w:tabs>
        <w:adjustRightInd w:val="0"/>
        <w:snapToGrid w:val="0"/>
        <w:spacing w:line="500" w:lineRule="exact"/>
        <w:ind w:left="0" w:firstLine="0"/>
        <w:outlineLvl w:val="0"/>
        <w:rPr>
          <w:rFonts w:hint="eastAsia" w:ascii="宋体" w:hAnsi="宋体" w:cs="宋体"/>
          <w:b/>
          <w:bCs/>
          <w:color w:val="1B1B1B"/>
          <w:kern w:val="0"/>
          <w:highlight w:val="none"/>
        </w:rPr>
      </w:pPr>
      <w:r>
        <w:rPr>
          <w:rFonts w:hint="eastAsia" w:ascii="宋体" w:hAnsi="宋体"/>
          <w:b/>
          <w:highlight w:val="none"/>
        </w:rPr>
        <w:t>租赁</w:t>
      </w:r>
      <w:r>
        <w:rPr>
          <w:rFonts w:hint="eastAsia" w:ascii="宋体" w:hAnsi="宋体" w:cs="宋体"/>
          <w:b/>
          <w:bCs/>
          <w:color w:val="1B1B1B"/>
          <w:kern w:val="0"/>
          <w:highlight w:val="none"/>
        </w:rPr>
        <w:t>及合作期限</w:t>
      </w:r>
    </w:p>
    <w:p w14:paraId="4C7D5E95">
      <w:pPr>
        <w:tabs>
          <w:tab w:val="left" w:pos="1442"/>
        </w:tabs>
        <w:adjustRightInd w:val="0"/>
        <w:snapToGrid w:val="0"/>
        <w:spacing w:line="500" w:lineRule="exact"/>
        <w:ind w:firstLine="480" w:firstLineChars="200"/>
        <w:rPr>
          <w:rFonts w:hint="eastAsia" w:ascii="宋体" w:hAnsi="宋体" w:cs="宋体"/>
          <w:color w:val="1B1B1B"/>
          <w:kern w:val="0"/>
          <w:highlight w:val="none"/>
        </w:rPr>
      </w:pPr>
      <w:r>
        <w:rPr>
          <w:rFonts w:hint="eastAsia" w:ascii="宋体" w:hAnsi="宋体" w:cs="宋体"/>
          <w:color w:val="1B1B1B"/>
          <w:kern w:val="0"/>
          <w:highlight w:val="none"/>
        </w:rPr>
        <w:t>双方确认，加油站物业的租赁期限为</w:t>
      </w:r>
      <w:r>
        <w:rPr>
          <w:rFonts w:hint="eastAsia" w:ascii="宋体" w:hAnsi="宋体" w:cs="宋体"/>
          <w:highlight w:val="none"/>
        </w:rPr>
        <w:t>《租赁合同》签订后双方正式接收加油站之日起3年。双方在租赁期限内开展合作联营，合作期限与租赁期限一致，</w:t>
      </w:r>
      <w:r>
        <w:rPr>
          <w:rFonts w:hint="eastAsia" w:ascii="宋体" w:hAnsi="宋体" w:cs="宋体"/>
          <w:color w:val="1B1B1B"/>
          <w:kern w:val="0"/>
          <w:highlight w:val="none"/>
        </w:rPr>
        <w:t>即</w:t>
      </w:r>
      <w:r>
        <w:rPr>
          <w:rFonts w:hint="eastAsia" w:ascii="宋体" w:hAnsi="宋体" w:cs="宋体"/>
          <w:color w:val="1B1B1B"/>
          <w:kern w:val="0"/>
          <w:highlight w:val="none"/>
          <w:u w:val="single"/>
        </w:rPr>
        <w:t xml:space="preserve">    </w:t>
      </w:r>
      <w:r>
        <w:rPr>
          <w:rFonts w:hint="eastAsia" w:ascii="宋体" w:hAnsi="宋体" w:cs="宋体"/>
          <w:color w:val="1B1B1B"/>
          <w:kern w:val="0"/>
          <w:highlight w:val="none"/>
        </w:rPr>
        <w:t>年</w:t>
      </w:r>
      <w:r>
        <w:rPr>
          <w:rFonts w:hint="eastAsia" w:ascii="宋体" w:hAnsi="宋体" w:cs="宋体"/>
          <w:color w:val="1B1B1B"/>
          <w:kern w:val="0"/>
          <w:highlight w:val="none"/>
          <w:u w:val="single"/>
        </w:rPr>
        <w:t xml:space="preserve">    </w:t>
      </w:r>
      <w:r>
        <w:rPr>
          <w:rFonts w:hint="eastAsia" w:ascii="宋体" w:hAnsi="宋体" w:cs="宋体"/>
          <w:color w:val="1B1B1B"/>
          <w:kern w:val="0"/>
          <w:highlight w:val="none"/>
        </w:rPr>
        <w:t>月</w:t>
      </w:r>
      <w:r>
        <w:rPr>
          <w:rFonts w:hint="eastAsia" w:ascii="宋体" w:hAnsi="宋体" w:cs="宋体"/>
          <w:color w:val="1B1B1B"/>
          <w:kern w:val="0"/>
          <w:highlight w:val="none"/>
          <w:u w:val="single"/>
        </w:rPr>
        <w:t xml:space="preserve">    </w:t>
      </w:r>
      <w:r>
        <w:rPr>
          <w:rFonts w:hint="eastAsia" w:ascii="宋体" w:hAnsi="宋体" w:cs="宋体"/>
          <w:color w:val="1B1B1B"/>
          <w:kern w:val="0"/>
          <w:highlight w:val="none"/>
        </w:rPr>
        <w:t>日起至</w:t>
      </w:r>
      <w:r>
        <w:rPr>
          <w:rFonts w:hint="eastAsia" w:ascii="宋体" w:hAnsi="宋体" w:cs="宋体"/>
          <w:color w:val="1B1B1B"/>
          <w:kern w:val="0"/>
          <w:highlight w:val="none"/>
          <w:u w:val="single"/>
        </w:rPr>
        <w:t xml:space="preserve">    </w:t>
      </w:r>
      <w:r>
        <w:rPr>
          <w:rFonts w:hint="eastAsia" w:ascii="宋体" w:hAnsi="宋体" w:cs="宋体"/>
          <w:color w:val="1B1B1B"/>
          <w:kern w:val="0"/>
          <w:highlight w:val="none"/>
        </w:rPr>
        <w:t>年</w:t>
      </w:r>
      <w:r>
        <w:rPr>
          <w:rFonts w:hint="eastAsia" w:ascii="宋体" w:hAnsi="宋体" w:cs="宋体"/>
          <w:color w:val="1B1B1B"/>
          <w:kern w:val="0"/>
          <w:highlight w:val="none"/>
          <w:u w:val="single"/>
        </w:rPr>
        <w:t xml:space="preserve">    </w:t>
      </w:r>
      <w:r>
        <w:rPr>
          <w:rFonts w:hint="eastAsia" w:ascii="宋体" w:hAnsi="宋体" w:cs="宋体"/>
          <w:color w:val="1B1B1B"/>
          <w:kern w:val="0"/>
          <w:highlight w:val="none"/>
        </w:rPr>
        <w:t>月</w:t>
      </w:r>
      <w:r>
        <w:rPr>
          <w:rFonts w:hint="eastAsia" w:ascii="宋体" w:hAnsi="宋体" w:cs="宋体"/>
          <w:color w:val="1B1B1B"/>
          <w:kern w:val="0"/>
          <w:highlight w:val="none"/>
          <w:u w:val="single"/>
        </w:rPr>
        <w:t xml:space="preserve">    </w:t>
      </w:r>
      <w:r>
        <w:rPr>
          <w:rFonts w:hint="eastAsia" w:ascii="宋体" w:hAnsi="宋体" w:cs="宋体"/>
          <w:color w:val="1B1B1B"/>
          <w:kern w:val="0"/>
          <w:highlight w:val="none"/>
        </w:rPr>
        <w:t>日止。</w:t>
      </w:r>
    </w:p>
    <w:p w14:paraId="7C873FA8">
      <w:pPr>
        <w:wordWrap w:val="0"/>
        <w:spacing w:line="500" w:lineRule="exact"/>
        <w:ind w:firstLine="480" w:firstLineChars="200"/>
        <w:rPr>
          <w:rFonts w:hint="eastAsia" w:ascii="宋体" w:hAnsi="宋体" w:cs="宋体"/>
          <w:color w:val="1B1B1B"/>
          <w:kern w:val="0"/>
          <w:highlight w:val="none"/>
        </w:rPr>
      </w:pPr>
    </w:p>
    <w:p w14:paraId="2BF1DE93">
      <w:pPr>
        <w:numPr>
          <w:ilvl w:val="0"/>
          <w:numId w:val="1"/>
        </w:numPr>
        <w:tabs>
          <w:tab w:val="left" w:pos="1442"/>
        </w:tabs>
        <w:adjustRightInd w:val="0"/>
        <w:snapToGrid w:val="0"/>
        <w:spacing w:line="500" w:lineRule="exact"/>
        <w:ind w:left="0" w:firstLine="0"/>
        <w:outlineLvl w:val="0"/>
        <w:rPr>
          <w:rFonts w:hint="eastAsia" w:ascii="宋体" w:hAnsi="宋体" w:cs="宋体"/>
          <w:b/>
          <w:bCs/>
          <w:color w:val="1B1B1B"/>
          <w:kern w:val="0"/>
          <w:highlight w:val="none"/>
        </w:rPr>
      </w:pPr>
      <w:r>
        <w:rPr>
          <w:rFonts w:hint="eastAsia" w:ascii="宋体" w:hAnsi="宋体"/>
          <w:b/>
          <w:highlight w:val="none"/>
        </w:rPr>
        <w:t>履约担保</w:t>
      </w:r>
    </w:p>
    <w:p w14:paraId="13595074">
      <w:pPr>
        <w:pStyle w:val="12"/>
        <w:numPr>
          <w:ilvl w:val="0"/>
          <w:numId w:val="4"/>
        </w:numPr>
        <w:wordWrap w:val="0"/>
        <w:spacing w:line="500" w:lineRule="exact"/>
        <w:ind w:firstLineChars="0"/>
        <w:outlineLvl w:val="1"/>
        <w:rPr>
          <w:rFonts w:hint="eastAsia" w:ascii="宋体" w:hAnsi="宋体" w:cs="宋体"/>
          <w:b/>
          <w:bCs/>
          <w:color w:val="1B1B1B"/>
          <w:kern w:val="0"/>
          <w:highlight w:val="none"/>
        </w:rPr>
      </w:pPr>
      <w:r>
        <w:rPr>
          <w:rFonts w:hint="eastAsia" w:ascii="宋体" w:hAnsi="宋体" w:cs="宋体"/>
          <w:b/>
          <w:bCs/>
          <w:color w:val="1B1B1B"/>
          <w:kern w:val="0"/>
          <w:highlight w:val="none"/>
        </w:rPr>
        <w:t>履约保证金</w:t>
      </w:r>
    </w:p>
    <w:p w14:paraId="727DCB5D">
      <w:pPr>
        <w:pStyle w:val="12"/>
        <w:numPr>
          <w:ilvl w:val="0"/>
          <w:numId w:val="5"/>
        </w:numPr>
        <w:wordWrap w:val="0"/>
        <w:spacing w:line="500" w:lineRule="exact"/>
        <w:ind w:left="0" w:firstLine="566" w:firstLineChars="236"/>
        <w:rPr>
          <w:rFonts w:hint="eastAsia" w:ascii="宋体" w:hAnsi="宋体" w:cs="宋体"/>
          <w:color w:val="1B1B1B"/>
          <w:kern w:val="0"/>
          <w:highlight w:val="none"/>
        </w:rPr>
      </w:pPr>
      <w:r>
        <w:rPr>
          <w:rFonts w:hint="eastAsia" w:ascii="宋体" w:hAnsi="宋体"/>
          <w:highlight w:val="none"/>
        </w:rPr>
        <w:t>乙方应在本协议签署之日起【15】日内向甲方足额支付履约保证金，</w:t>
      </w:r>
      <w:r>
        <w:rPr>
          <w:rFonts w:hint="eastAsia" w:ascii="宋体" w:hAnsi="宋体" w:cs="宋体"/>
          <w:color w:val="1B1B1B"/>
          <w:kern w:val="0"/>
          <w:highlight w:val="none"/>
        </w:rPr>
        <w:t>履约保证金金额按加油站物业年租金的40%计算，即大写人民币</w:t>
      </w:r>
      <w:r>
        <w:rPr>
          <w:rFonts w:hint="eastAsia" w:ascii="宋体" w:hAnsi="宋体" w:cs="宋体"/>
          <w:color w:val="1B1B1B"/>
          <w:kern w:val="0"/>
          <w:highlight w:val="none"/>
          <w:u w:val="single"/>
        </w:rPr>
        <w:t xml:space="preserve"> </w:t>
      </w:r>
      <w:r>
        <w:rPr>
          <w:rFonts w:ascii="宋体" w:hAnsi="宋体" w:cs="宋体"/>
          <w:color w:val="1B1B1B"/>
          <w:kern w:val="0"/>
          <w:highlight w:val="none"/>
          <w:u w:val="single"/>
        </w:rPr>
        <w:t xml:space="preserve">           </w:t>
      </w:r>
      <w:r>
        <w:rPr>
          <w:rFonts w:hint="eastAsia" w:ascii="宋体" w:hAnsi="宋体" w:cs="宋体"/>
          <w:color w:val="1B1B1B"/>
          <w:kern w:val="0"/>
          <w:highlight w:val="none"/>
        </w:rPr>
        <w:t>元整（小写：¥</w:t>
      </w:r>
      <w:r>
        <w:rPr>
          <w:rFonts w:hint="eastAsia" w:ascii="宋体" w:hAnsi="宋体" w:cs="宋体"/>
          <w:color w:val="1B1B1B"/>
          <w:kern w:val="0"/>
          <w:highlight w:val="none"/>
          <w:u w:val="single"/>
        </w:rPr>
        <w:t xml:space="preserve">        </w:t>
      </w:r>
      <w:r>
        <w:rPr>
          <w:rFonts w:hint="eastAsia" w:ascii="宋体" w:hAnsi="宋体" w:cs="宋体"/>
          <w:color w:val="1B1B1B"/>
          <w:kern w:val="0"/>
          <w:highlight w:val="none"/>
        </w:rPr>
        <w:t>.00元），由乙方支付并转入以下账户：</w:t>
      </w:r>
    </w:p>
    <w:p w14:paraId="37A6A8D8">
      <w:pPr>
        <w:numPr>
          <w:ilvl w:val="255"/>
          <w:numId w:val="0"/>
        </w:numPr>
        <w:wordWrap w:val="0"/>
        <w:spacing w:line="500" w:lineRule="exact"/>
        <w:ind w:left="480" w:leftChars="200"/>
        <w:rPr>
          <w:rFonts w:hint="eastAsia" w:ascii="宋体" w:hAnsi="宋体" w:cs="宋体"/>
          <w:color w:val="1B1B1B"/>
          <w:kern w:val="0"/>
          <w:highlight w:val="none"/>
        </w:rPr>
      </w:pPr>
      <w:r>
        <w:rPr>
          <w:rFonts w:hint="eastAsia" w:ascii="宋体" w:hAnsi="宋体" w:cs="宋体"/>
          <w:color w:val="1B1B1B"/>
          <w:kern w:val="0"/>
          <w:highlight w:val="none"/>
        </w:rPr>
        <w:t>收款方：</w:t>
      </w:r>
    </w:p>
    <w:p w14:paraId="5DC78CFC">
      <w:pPr>
        <w:numPr>
          <w:ilvl w:val="255"/>
          <w:numId w:val="0"/>
        </w:numPr>
        <w:wordWrap w:val="0"/>
        <w:spacing w:line="500" w:lineRule="exact"/>
        <w:ind w:left="480" w:leftChars="200"/>
        <w:rPr>
          <w:rFonts w:hint="eastAsia" w:ascii="宋体" w:hAnsi="宋体" w:cs="宋体"/>
          <w:color w:val="1B1B1B"/>
          <w:kern w:val="0"/>
          <w:highlight w:val="none"/>
        </w:rPr>
      </w:pPr>
      <w:r>
        <w:rPr>
          <w:rFonts w:hint="eastAsia" w:ascii="宋体" w:hAnsi="宋体" w:cs="宋体"/>
          <w:color w:val="1B1B1B"/>
          <w:kern w:val="0"/>
          <w:highlight w:val="none"/>
        </w:rPr>
        <w:t>收款银行：</w:t>
      </w:r>
    </w:p>
    <w:p w14:paraId="2ED77D78">
      <w:pPr>
        <w:numPr>
          <w:ilvl w:val="255"/>
          <w:numId w:val="0"/>
        </w:numPr>
        <w:wordWrap w:val="0"/>
        <w:spacing w:line="500" w:lineRule="exact"/>
        <w:ind w:left="480" w:leftChars="200"/>
        <w:rPr>
          <w:rFonts w:hint="eastAsia" w:ascii="宋体" w:hAnsi="宋体" w:cs="宋体"/>
          <w:color w:val="1B1B1B"/>
          <w:kern w:val="0"/>
          <w:highlight w:val="none"/>
        </w:rPr>
      </w:pPr>
      <w:r>
        <w:rPr>
          <w:rFonts w:hint="eastAsia" w:ascii="宋体" w:hAnsi="宋体" w:cs="宋体"/>
          <w:color w:val="1B1B1B"/>
          <w:kern w:val="0"/>
          <w:highlight w:val="none"/>
        </w:rPr>
        <w:t>账户：</w:t>
      </w:r>
    </w:p>
    <w:p w14:paraId="6E3EC1EF">
      <w:pPr>
        <w:pStyle w:val="12"/>
        <w:numPr>
          <w:ilvl w:val="0"/>
          <w:numId w:val="5"/>
        </w:numPr>
        <w:wordWrap w:val="0"/>
        <w:spacing w:line="500" w:lineRule="exact"/>
        <w:ind w:left="0" w:firstLine="567" w:firstLineChars="0"/>
        <w:rPr>
          <w:rFonts w:hint="eastAsia" w:ascii="宋体" w:hAnsi="宋体" w:cs="宋体"/>
          <w:color w:val="1B1B1B"/>
          <w:kern w:val="0"/>
          <w:highlight w:val="none"/>
        </w:rPr>
      </w:pPr>
      <w:r>
        <w:rPr>
          <w:rFonts w:hint="eastAsia" w:ascii="宋体" w:hAnsi="宋体" w:cs="宋体"/>
          <w:color w:val="1B1B1B"/>
          <w:kern w:val="0"/>
          <w:highlight w:val="none"/>
        </w:rPr>
        <w:t>乙方已向佛山南方产权交易所支付保证金的，佛山南方产权交易所向甲方支付保证金后即转为本协议履约保证金，差额部分需在本协议签订之日起【15】日内足额支付差额金额。甲方收齐保证金后向乙方开具收据证明。</w:t>
      </w:r>
    </w:p>
    <w:p w14:paraId="47ADDDAE">
      <w:pPr>
        <w:pStyle w:val="12"/>
        <w:numPr>
          <w:ilvl w:val="0"/>
          <w:numId w:val="5"/>
        </w:numPr>
        <w:wordWrap w:val="0"/>
        <w:spacing w:line="500" w:lineRule="exact"/>
        <w:ind w:left="0" w:firstLine="567" w:firstLineChars="0"/>
        <w:rPr>
          <w:rFonts w:hint="eastAsia" w:ascii="宋体" w:hAnsi="宋体" w:cs="宋体"/>
          <w:color w:val="1B1B1B"/>
          <w:kern w:val="0"/>
          <w:highlight w:val="none"/>
        </w:rPr>
      </w:pPr>
      <w:r>
        <w:rPr>
          <w:rFonts w:hint="eastAsia" w:ascii="宋体" w:hAnsi="宋体" w:cs="宋体"/>
          <w:color w:val="1B1B1B"/>
          <w:kern w:val="0"/>
          <w:highlight w:val="none"/>
        </w:rPr>
        <w:t>在合作期限届满后30日内，若乙方不存在违约情形的，甲方无息退还全部的履约保证金。若乙方存在违约情形的，甲方在扣减乙方应承担的费用后，无息退还剩余履约保证金。</w:t>
      </w:r>
    </w:p>
    <w:p w14:paraId="282FAF84">
      <w:pPr>
        <w:pStyle w:val="12"/>
        <w:numPr>
          <w:ilvl w:val="0"/>
          <w:numId w:val="5"/>
        </w:numPr>
        <w:wordWrap w:val="0"/>
        <w:spacing w:line="500" w:lineRule="exact"/>
        <w:ind w:left="0" w:firstLine="567" w:firstLineChars="0"/>
        <w:rPr>
          <w:rFonts w:hint="eastAsia" w:ascii="宋体" w:hAnsi="宋体" w:cs="宋体"/>
          <w:color w:val="1B1B1B"/>
          <w:kern w:val="0"/>
          <w:highlight w:val="none"/>
        </w:rPr>
      </w:pPr>
      <w:r>
        <w:rPr>
          <w:rFonts w:hint="eastAsia" w:ascii="宋体" w:hAnsi="宋体" w:cs="宋体"/>
          <w:color w:val="1B1B1B"/>
          <w:kern w:val="0"/>
          <w:highlight w:val="none"/>
        </w:rPr>
        <w:t>乙方必须在合作期内保持履约保证金金额不变。乙方在合作期内有违约行为或造成甲方损失的，甲方有权在履约保证金中先行划扣乙方应付之款项。如因乙方原因导致甲方需划扣全部或部分履约保证金的，乙方应在收到甲方通知之日起7日内不足履约保证金。</w:t>
      </w:r>
    </w:p>
    <w:p w14:paraId="0D706A59">
      <w:pPr>
        <w:pStyle w:val="12"/>
        <w:numPr>
          <w:ilvl w:val="0"/>
          <w:numId w:val="4"/>
        </w:numPr>
        <w:wordWrap w:val="0"/>
        <w:spacing w:line="500" w:lineRule="exact"/>
        <w:ind w:firstLineChars="0"/>
        <w:outlineLvl w:val="1"/>
        <w:rPr>
          <w:rFonts w:hint="eastAsia" w:ascii="宋体" w:hAnsi="宋体" w:cs="宋体"/>
          <w:b/>
          <w:bCs/>
          <w:color w:val="1B1B1B"/>
          <w:kern w:val="0"/>
          <w:highlight w:val="none"/>
        </w:rPr>
      </w:pPr>
      <w:r>
        <w:rPr>
          <w:rFonts w:hint="eastAsia" w:ascii="宋体" w:hAnsi="宋体" w:cs="宋体"/>
          <w:b/>
          <w:bCs/>
          <w:color w:val="1B1B1B"/>
          <w:kern w:val="0"/>
          <w:highlight w:val="none"/>
        </w:rPr>
        <w:t>增信措施</w:t>
      </w:r>
    </w:p>
    <w:p w14:paraId="413150EB">
      <w:pPr>
        <w:pStyle w:val="12"/>
        <w:wordWrap w:val="0"/>
        <w:spacing w:line="500" w:lineRule="exact"/>
        <w:ind w:firstLine="566" w:firstLineChars="236"/>
        <w:rPr>
          <w:rFonts w:hint="eastAsia" w:ascii="宋体" w:hAnsi="宋体" w:cs="宋体"/>
          <w:color w:val="1B1B1B"/>
          <w:kern w:val="0"/>
          <w:highlight w:val="none"/>
        </w:rPr>
      </w:pPr>
      <w:r>
        <w:rPr>
          <w:rFonts w:hint="eastAsia" w:ascii="宋体" w:hAnsi="宋体" w:cs="宋体"/>
          <w:bCs/>
          <w:color w:val="1B1B1B"/>
          <w:kern w:val="0"/>
          <w:highlight w:val="none"/>
        </w:rPr>
        <w:t>根据本协议约定乙方应承担购买</w:t>
      </w:r>
      <w:r>
        <w:rPr>
          <w:rFonts w:hint="eastAsia" w:ascii="宋体" w:hAnsi="宋体" w:cs="宋体"/>
          <w:color w:val="1B1B1B"/>
          <w:kern w:val="0"/>
          <w:highlight w:val="none"/>
        </w:rPr>
        <w:t>及运输</w:t>
      </w:r>
      <w:r>
        <w:rPr>
          <w:rFonts w:hint="eastAsia" w:ascii="宋体" w:hAnsi="宋体" w:cs="宋体"/>
          <w:bCs/>
          <w:color w:val="1B1B1B"/>
          <w:kern w:val="0"/>
          <w:highlight w:val="none"/>
        </w:rPr>
        <w:t>成品油</w:t>
      </w:r>
      <w:r>
        <w:rPr>
          <w:rFonts w:hint="eastAsia" w:ascii="宋体" w:hAnsi="宋体" w:cs="宋体"/>
          <w:color w:val="1B1B1B"/>
          <w:kern w:val="0"/>
          <w:highlight w:val="none"/>
        </w:rPr>
        <w:t>等相关</w:t>
      </w:r>
      <w:r>
        <w:rPr>
          <w:rFonts w:hint="eastAsia" w:ascii="宋体" w:hAnsi="宋体" w:cs="宋体"/>
          <w:bCs/>
          <w:color w:val="1B1B1B"/>
          <w:kern w:val="0"/>
          <w:highlight w:val="none"/>
        </w:rPr>
        <w:t>义务</w:t>
      </w:r>
      <w:r>
        <w:rPr>
          <w:rFonts w:hint="eastAsia" w:ascii="宋体" w:hAnsi="宋体" w:cs="宋体"/>
          <w:color w:val="1B1B1B"/>
          <w:kern w:val="0"/>
          <w:highlight w:val="none"/>
        </w:rPr>
        <w:t>，为确保其持续具备相应的履约能力，乙方应于合作期间的每年度【  】月【  】日前，向甲方提供购买成品油主体的企业征信报告原件及履行该等义务必须的许可证照供甲方查阅及备案。若经甲方审查判断其资金状况将影响其履约能力时，甲方有权要求乙方提供进一步的增信措施（包括但不限于增加履约保证金金额、增加其他担保等），乙方应无条件予以配合。若乙方拒绝或无法提供的，甲方有权单方解除本协议，乙方应赔偿甲方全部损失。</w:t>
      </w:r>
    </w:p>
    <w:p w14:paraId="7E1A5095">
      <w:pPr>
        <w:pStyle w:val="12"/>
        <w:numPr>
          <w:ilvl w:val="255"/>
          <w:numId w:val="0"/>
        </w:numPr>
        <w:wordWrap w:val="0"/>
        <w:adjustRightInd w:val="0"/>
        <w:snapToGrid w:val="0"/>
        <w:spacing w:line="500" w:lineRule="exact"/>
        <w:ind w:firstLine="569" w:firstLineChars="236"/>
        <w:rPr>
          <w:rFonts w:hint="eastAsia" w:ascii="宋体" w:hAnsi="宋体"/>
          <w:b/>
          <w:highlight w:val="none"/>
        </w:rPr>
      </w:pPr>
    </w:p>
    <w:p w14:paraId="1DD08520">
      <w:pPr>
        <w:numPr>
          <w:ilvl w:val="0"/>
          <w:numId w:val="1"/>
        </w:numPr>
        <w:tabs>
          <w:tab w:val="left" w:pos="1442"/>
        </w:tabs>
        <w:adjustRightInd w:val="0"/>
        <w:snapToGrid w:val="0"/>
        <w:spacing w:line="500" w:lineRule="exact"/>
        <w:ind w:left="0" w:firstLine="0"/>
        <w:outlineLvl w:val="0"/>
        <w:rPr>
          <w:rFonts w:hint="eastAsia" w:ascii="宋体" w:hAnsi="宋体"/>
          <w:highlight w:val="none"/>
        </w:rPr>
      </w:pPr>
      <w:r>
        <w:rPr>
          <w:rFonts w:hint="eastAsia" w:ascii="宋体" w:hAnsi="宋体"/>
          <w:b/>
          <w:highlight w:val="none"/>
        </w:rPr>
        <w:t>合作联营机制</w:t>
      </w:r>
    </w:p>
    <w:p w14:paraId="211F61D9">
      <w:pPr>
        <w:pStyle w:val="12"/>
        <w:numPr>
          <w:ilvl w:val="255"/>
          <w:numId w:val="0"/>
        </w:numPr>
        <w:tabs>
          <w:tab w:val="left" w:pos="1442"/>
        </w:tabs>
        <w:adjustRightInd w:val="0"/>
        <w:snapToGrid w:val="0"/>
        <w:spacing w:line="500" w:lineRule="exact"/>
        <w:ind w:firstLine="482" w:firstLineChars="200"/>
        <w:outlineLvl w:val="1"/>
        <w:rPr>
          <w:rFonts w:hint="eastAsia" w:ascii="宋体" w:hAnsi="宋体"/>
          <w:b/>
          <w:highlight w:val="none"/>
        </w:rPr>
      </w:pPr>
      <w:r>
        <w:rPr>
          <w:rFonts w:hint="eastAsia" w:ascii="宋体" w:hAnsi="宋体"/>
          <w:b/>
          <w:highlight w:val="none"/>
        </w:rPr>
        <w:t>（一）加油站项目证照的办理</w:t>
      </w:r>
    </w:p>
    <w:p w14:paraId="31866D66">
      <w:pPr>
        <w:pStyle w:val="12"/>
        <w:numPr>
          <w:ilvl w:val="0"/>
          <w:numId w:val="6"/>
        </w:numPr>
        <w:spacing w:line="500" w:lineRule="exact"/>
        <w:ind w:left="0" w:firstLine="480"/>
        <w:rPr>
          <w:rFonts w:hint="eastAsia" w:ascii="宋体" w:hAnsi="宋体"/>
          <w:highlight w:val="none"/>
        </w:rPr>
      </w:pPr>
      <w:r>
        <w:rPr>
          <w:rFonts w:hint="eastAsia" w:ascii="宋体" w:hAnsi="宋体"/>
          <w:highlight w:val="none"/>
        </w:rPr>
        <w:t>乙方应负责在接收加油站物业之日起</w:t>
      </w:r>
      <w:r>
        <w:rPr>
          <w:rFonts w:hint="eastAsia" w:ascii="宋体" w:hAnsi="宋体"/>
          <w:highlight w:val="none"/>
        </w:rPr>
        <w:t>60</w:t>
      </w:r>
      <w:r>
        <w:rPr>
          <w:rFonts w:hint="eastAsia" w:ascii="宋体" w:hAnsi="宋体"/>
          <w:highlight w:val="none"/>
        </w:rPr>
        <w:t>日内，以甲方作为经营主体，办理加油站项目开展成品油经营所有必须取得的行政许可，包括但不限于《成品油零售经营批准证书》、《危险化学品经营许可证》等，并以甲方名义开设相应的收支结算银行账户以及其他与经营活动相关的平台账户，甲方配合提供必要的证照和资料。</w:t>
      </w:r>
    </w:p>
    <w:p w14:paraId="6FB3014B">
      <w:pPr>
        <w:pStyle w:val="12"/>
        <w:numPr>
          <w:ilvl w:val="0"/>
          <w:numId w:val="6"/>
        </w:numPr>
        <w:spacing w:line="500" w:lineRule="exact"/>
        <w:ind w:left="0" w:firstLine="480"/>
        <w:rPr>
          <w:rFonts w:hint="eastAsia" w:ascii="宋体" w:hAnsi="宋体"/>
          <w:highlight w:val="none"/>
        </w:rPr>
      </w:pPr>
      <w:r>
        <w:rPr>
          <w:rFonts w:hint="eastAsia" w:ascii="宋体" w:hAnsi="宋体"/>
          <w:highlight w:val="none"/>
        </w:rPr>
        <w:t>乙方未能在接收加油站物业之日起</w:t>
      </w:r>
      <w:r>
        <w:rPr>
          <w:rFonts w:hint="eastAsia" w:ascii="宋体" w:hAnsi="宋体"/>
          <w:highlight w:val="none"/>
        </w:rPr>
        <w:t>60</w:t>
      </w:r>
      <w:r>
        <w:rPr>
          <w:rFonts w:hint="eastAsia" w:ascii="宋体" w:hAnsi="宋体"/>
          <w:highlight w:val="none"/>
        </w:rPr>
        <w:t>日内完成前述加油站证照办理的，经甲方同意后可延期至接收加油站物业之日起</w:t>
      </w:r>
      <w:r>
        <w:rPr>
          <w:rFonts w:hint="eastAsia" w:ascii="宋体" w:hAnsi="宋体"/>
          <w:highlight w:val="none"/>
        </w:rPr>
        <w:t>150</w:t>
      </w:r>
      <w:r>
        <w:rPr>
          <w:rFonts w:hint="eastAsia" w:ascii="宋体" w:hAnsi="宋体"/>
          <w:highlight w:val="none"/>
        </w:rPr>
        <w:t>日内完成；若乙方逾期完成该等证照办理的，甲方有权单方解除本协议并没收履约保证金。</w:t>
      </w:r>
    </w:p>
    <w:p w14:paraId="700795DF">
      <w:pPr>
        <w:pStyle w:val="12"/>
        <w:numPr>
          <w:ilvl w:val="0"/>
          <w:numId w:val="6"/>
        </w:numPr>
        <w:spacing w:line="500" w:lineRule="exact"/>
        <w:ind w:left="0" w:firstLine="480"/>
        <w:rPr>
          <w:rFonts w:hint="eastAsia" w:ascii="宋体" w:hAnsi="宋体"/>
          <w:highlight w:val="none"/>
        </w:rPr>
      </w:pPr>
      <w:r>
        <w:rPr>
          <w:rFonts w:hint="eastAsia" w:ascii="宋体" w:hAnsi="宋体"/>
          <w:highlight w:val="none"/>
        </w:rPr>
        <w:t>以甲方作为经营主体办理证照、账户时，主管部门或者负责单位收取的应以甲方名义缴纳的费用由甲方承担，其余相关费用全部由乙方承担。</w:t>
      </w:r>
    </w:p>
    <w:p w14:paraId="69D130E0">
      <w:pPr>
        <w:pStyle w:val="12"/>
        <w:numPr>
          <w:ilvl w:val="0"/>
          <w:numId w:val="6"/>
        </w:numPr>
        <w:spacing w:line="500" w:lineRule="exact"/>
        <w:ind w:left="0" w:firstLine="480"/>
        <w:rPr>
          <w:rFonts w:hint="eastAsia" w:ascii="宋体" w:hAnsi="宋体"/>
          <w:highlight w:val="none"/>
        </w:rPr>
      </w:pPr>
      <w:r>
        <w:rPr>
          <w:rFonts w:hint="eastAsia" w:ascii="宋体" w:hAnsi="宋体"/>
          <w:highlight w:val="none"/>
        </w:rPr>
        <w:t>乙方应在本协议约定的加油站项目对外经营之日前，确保自身符合从事本协议项下经营活动的全部条件，包括取得必要的行政许可[如危险化学品（成品油）批发行政许可登记等]、办理相关证照、开设相应账户、取得相应开具发票权限等。除非甲方书面同意延期，若乙方未能在接收加油站物业之日起</w:t>
      </w:r>
      <w:r>
        <w:rPr>
          <w:rFonts w:hint="eastAsia" w:ascii="宋体" w:hAnsi="宋体"/>
          <w:highlight w:val="none"/>
        </w:rPr>
        <w:t>60</w:t>
      </w:r>
      <w:r>
        <w:rPr>
          <w:rFonts w:hint="eastAsia" w:ascii="宋体" w:hAnsi="宋体"/>
          <w:highlight w:val="none"/>
        </w:rPr>
        <w:t>日内符合该等全部条件的，甲方有权单方解除本协议并没收履约保证金。</w:t>
      </w:r>
    </w:p>
    <w:p w14:paraId="191166AD">
      <w:pPr>
        <w:pStyle w:val="12"/>
        <w:numPr>
          <w:ilvl w:val="255"/>
          <w:numId w:val="0"/>
        </w:numPr>
        <w:tabs>
          <w:tab w:val="left" w:pos="1442"/>
        </w:tabs>
        <w:adjustRightInd w:val="0"/>
        <w:snapToGrid w:val="0"/>
        <w:spacing w:line="500" w:lineRule="exact"/>
        <w:ind w:firstLine="482" w:firstLineChars="200"/>
        <w:outlineLvl w:val="1"/>
        <w:rPr>
          <w:rFonts w:hint="eastAsia" w:ascii="宋体" w:hAnsi="宋体"/>
          <w:b/>
          <w:highlight w:val="none"/>
        </w:rPr>
      </w:pPr>
      <w:r>
        <w:rPr>
          <w:rFonts w:hint="eastAsia" w:ascii="宋体" w:hAnsi="宋体"/>
          <w:b/>
          <w:highlight w:val="none"/>
        </w:rPr>
        <w:t>（二）加油站项目的经营管理</w:t>
      </w:r>
    </w:p>
    <w:p w14:paraId="636C41A4">
      <w:pPr>
        <w:pStyle w:val="12"/>
        <w:numPr>
          <w:ilvl w:val="0"/>
          <w:numId w:val="7"/>
        </w:numPr>
        <w:spacing w:line="500" w:lineRule="exact"/>
        <w:ind w:left="0" w:firstLine="482"/>
        <w:outlineLvl w:val="2"/>
        <w:rPr>
          <w:rFonts w:hint="eastAsia" w:ascii="宋体" w:hAnsi="宋体"/>
          <w:b/>
          <w:highlight w:val="none"/>
        </w:rPr>
      </w:pPr>
      <w:r>
        <w:rPr>
          <w:rFonts w:hint="eastAsia" w:ascii="宋体" w:hAnsi="宋体"/>
          <w:b/>
          <w:highlight w:val="none"/>
        </w:rPr>
        <w:t>经营管理职责的划分</w:t>
      </w:r>
    </w:p>
    <w:p w14:paraId="2CD90B13">
      <w:pPr>
        <w:spacing w:line="500" w:lineRule="exact"/>
        <w:ind w:firstLine="480" w:firstLineChars="200"/>
        <w:rPr>
          <w:rFonts w:hint="eastAsia" w:ascii="宋体" w:hAnsi="宋体"/>
          <w:highlight w:val="none"/>
        </w:rPr>
      </w:pPr>
      <w:r>
        <w:rPr>
          <w:rFonts w:hint="eastAsia" w:ascii="宋体" w:hAnsi="宋体" w:cs="宋体"/>
          <w:color w:val="1B1B1B"/>
          <w:kern w:val="0"/>
          <w:highlight w:val="none"/>
        </w:rPr>
        <w:t>双方</w:t>
      </w:r>
      <w:r>
        <w:rPr>
          <w:rFonts w:hint="eastAsia" w:ascii="宋体" w:hAnsi="宋体"/>
          <w:highlight w:val="none"/>
        </w:rPr>
        <w:t>同意，除本协议另有约定外，加油站项目的经营管理职责由双方按照以下分工开展承担：</w:t>
      </w:r>
    </w:p>
    <w:p w14:paraId="2A440A61">
      <w:pPr>
        <w:pStyle w:val="12"/>
        <w:numPr>
          <w:ilvl w:val="3"/>
          <w:numId w:val="1"/>
        </w:numPr>
        <w:spacing w:line="500" w:lineRule="exact"/>
        <w:ind w:left="0" w:firstLine="480"/>
        <w:outlineLvl w:val="3"/>
        <w:rPr>
          <w:rFonts w:hint="eastAsia" w:ascii="宋体" w:hAnsi="宋体"/>
          <w:highlight w:val="none"/>
        </w:rPr>
      </w:pPr>
      <w:r>
        <w:rPr>
          <w:rFonts w:hint="eastAsia" w:ascii="宋体" w:hAnsi="宋体"/>
          <w:highlight w:val="none"/>
        </w:rPr>
        <w:t>甲方负责的经营管理事项包括：</w:t>
      </w:r>
    </w:p>
    <w:p w14:paraId="223E77AA">
      <w:pPr>
        <w:pStyle w:val="12"/>
        <w:numPr>
          <w:ilvl w:val="0"/>
          <w:numId w:val="8"/>
        </w:numPr>
        <w:spacing w:line="500" w:lineRule="exact"/>
        <w:ind w:firstLine="480"/>
        <w:rPr>
          <w:rFonts w:hint="eastAsia" w:ascii="宋体" w:hAnsi="宋体"/>
          <w:highlight w:val="none"/>
        </w:rPr>
      </w:pPr>
      <w:r>
        <w:rPr>
          <w:rFonts w:hint="eastAsia" w:ascii="宋体" w:hAnsi="宋体"/>
          <w:highlight w:val="none"/>
        </w:rPr>
        <w:t>牵头管理成品油的销售经营，牵头管理非成品油经营活动的经营，派驻管理人员现场管控和协调；</w:t>
      </w:r>
    </w:p>
    <w:p w14:paraId="1F0CEB71">
      <w:pPr>
        <w:pStyle w:val="12"/>
        <w:numPr>
          <w:ilvl w:val="0"/>
          <w:numId w:val="8"/>
        </w:numPr>
        <w:spacing w:line="500" w:lineRule="exact"/>
        <w:ind w:firstLine="480"/>
        <w:rPr>
          <w:rFonts w:hint="eastAsia" w:ascii="宋体" w:hAnsi="宋体"/>
          <w:highlight w:val="none"/>
        </w:rPr>
      </w:pPr>
      <w:r>
        <w:rPr>
          <w:rFonts w:hint="eastAsia" w:ascii="宋体" w:hAnsi="宋体"/>
          <w:highlight w:val="none"/>
        </w:rPr>
        <w:t>优化成品油销售的前端管理，管理和监督成品油销售价格的制定；</w:t>
      </w:r>
    </w:p>
    <w:p w14:paraId="2C6E1921">
      <w:pPr>
        <w:pStyle w:val="12"/>
        <w:numPr>
          <w:ilvl w:val="0"/>
          <w:numId w:val="8"/>
        </w:numPr>
        <w:spacing w:line="500" w:lineRule="exact"/>
        <w:ind w:firstLine="480"/>
        <w:rPr>
          <w:rFonts w:hint="eastAsia" w:ascii="宋体" w:hAnsi="宋体"/>
          <w:highlight w:val="none"/>
        </w:rPr>
      </w:pPr>
      <w:r>
        <w:rPr>
          <w:rFonts w:hint="eastAsia" w:ascii="宋体" w:hAnsi="宋体"/>
          <w:highlight w:val="none"/>
        </w:rPr>
        <w:t>负责成油品经营环节的财务管理工作，向购油对象（零售客户）收取成品油经营销售款项并提供相应发票开具，管理相应的账务和税务工作；指导非油品业务的经营工作并提供管理服务。</w:t>
      </w:r>
    </w:p>
    <w:p w14:paraId="6C93DD55">
      <w:pPr>
        <w:pStyle w:val="12"/>
        <w:numPr>
          <w:ilvl w:val="0"/>
          <w:numId w:val="8"/>
        </w:numPr>
        <w:spacing w:line="500" w:lineRule="exact"/>
        <w:ind w:firstLine="480"/>
        <w:rPr>
          <w:rFonts w:hint="eastAsia" w:ascii="宋体" w:hAnsi="宋体"/>
          <w:highlight w:val="none"/>
        </w:rPr>
      </w:pPr>
      <w:r>
        <w:rPr>
          <w:rFonts w:hint="eastAsia" w:ascii="宋体" w:hAnsi="宋体"/>
          <w:highlight w:val="none"/>
        </w:rPr>
        <w:t>按本协议约定的成品油销售收款结算规则和收入分成约定向乙方进行分成和支付；</w:t>
      </w:r>
    </w:p>
    <w:p w14:paraId="053F9F7E">
      <w:pPr>
        <w:pStyle w:val="12"/>
        <w:numPr>
          <w:ilvl w:val="0"/>
          <w:numId w:val="8"/>
        </w:numPr>
        <w:spacing w:line="500" w:lineRule="exact"/>
        <w:ind w:firstLine="480"/>
        <w:rPr>
          <w:rFonts w:hint="eastAsia" w:ascii="宋体" w:hAnsi="宋体"/>
          <w:highlight w:val="none"/>
        </w:rPr>
      </w:pPr>
      <w:r>
        <w:rPr>
          <w:rFonts w:hint="eastAsia" w:ascii="宋体" w:hAnsi="宋体"/>
          <w:highlight w:val="none"/>
        </w:rPr>
        <w:t>配合乙方为成品油采购活动出具必要的文件；</w:t>
      </w:r>
    </w:p>
    <w:p w14:paraId="2CE2F1D0">
      <w:pPr>
        <w:pStyle w:val="12"/>
        <w:numPr>
          <w:ilvl w:val="0"/>
          <w:numId w:val="8"/>
        </w:numPr>
        <w:spacing w:line="500" w:lineRule="exact"/>
        <w:ind w:firstLine="480"/>
        <w:rPr>
          <w:rFonts w:hint="eastAsia" w:ascii="宋体" w:hAnsi="宋体"/>
          <w:highlight w:val="none"/>
        </w:rPr>
      </w:pPr>
      <w:r>
        <w:rPr>
          <w:rFonts w:hint="eastAsia" w:ascii="宋体" w:hAnsi="宋体"/>
          <w:highlight w:val="none"/>
        </w:rPr>
        <w:t>监督管理乙方所负责工作的合法合规性（包括但不限于监督操作过程、不定期抽查成品油批次质量等）；</w:t>
      </w:r>
    </w:p>
    <w:p w14:paraId="3C40D540">
      <w:pPr>
        <w:pStyle w:val="12"/>
        <w:numPr>
          <w:ilvl w:val="0"/>
          <w:numId w:val="8"/>
        </w:numPr>
        <w:spacing w:line="500" w:lineRule="exact"/>
        <w:ind w:firstLine="480"/>
        <w:rPr>
          <w:rFonts w:hint="eastAsia" w:ascii="宋体" w:hAnsi="宋体"/>
          <w:highlight w:val="none"/>
        </w:rPr>
      </w:pPr>
      <w:r>
        <w:rPr>
          <w:rFonts w:hint="eastAsia" w:ascii="宋体" w:hAnsi="宋体"/>
          <w:highlight w:val="none"/>
        </w:rPr>
        <w:t>响应加油站项目相关的投诉或政务热线管理；</w:t>
      </w:r>
    </w:p>
    <w:p w14:paraId="48469468">
      <w:pPr>
        <w:pStyle w:val="12"/>
        <w:numPr>
          <w:ilvl w:val="0"/>
          <w:numId w:val="8"/>
        </w:numPr>
        <w:spacing w:line="500" w:lineRule="exact"/>
        <w:ind w:firstLine="480"/>
        <w:rPr>
          <w:rFonts w:hint="eastAsia" w:ascii="宋体" w:hAnsi="宋体"/>
          <w:highlight w:val="none"/>
        </w:rPr>
      </w:pPr>
      <w:r>
        <w:rPr>
          <w:rFonts w:hint="eastAsia" w:ascii="宋体" w:hAnsi="宋体"/>
          <w:highlight w:val="none"/>
        </w:rPr>
        <w:t>作为经营主体协调和配合行业监管部门的各项工作，缴纳经营主体必要的相关行政事业性费用；</w:t>
      </w:r>
    </w:p>
    <w:p w14:paraId="7180FBE3">
      <w:pPr>
        <w:pStyle w:val="12"/>
        <w:numPr>
          <w:ilvl w:val="0"/>
          <w:numId w:val="8"/>
        </w:numPr>
        <w:spacing w:line="500" w:lineRule="exact"/>
        <w:ind w:firstLine="480"/>
        <w:rPr>
          <w:rFonts w:hint="eastAsia" w:ascii="宋体" w:hAnsi="宋体"/>
          <w:highlight w:val="none"/>
        </w:rPr>
      </w:pPr>
      <w:r>
        <w:rPr>
          <w:rFonts w:hint="eastAsia" w:ascii="宋体" w:hAnsi="宋体"/>
          <w:highlight w:val="none"/>
        </w:rPr>
        <w:t>作为加油站项目的经营主体组织安全生产管理工作并承担法律规定或主管部门要求应由加油站经营主体缴纳的安全生产管理费用，监督管理乙方落实保障加油站项目的安全生产管理工作。</w:t>
      </w:r>
    </w:p>
    <w:p w14:paraId="2FE18281">
      <w:pPr>
        <w:pStyle w:val="12"/>
        <w:numPr>
          <w:ilvl w:val="0"/>
          <w:numId w:val="8"/>
        </w:numPr>
        <w:spacing w:line="500" w:lineRule="exact"/>
        <w:ind w:firstLine="480"/>
        <w:rPr>
          <w:rFonts w:hint="eastAsia" w:ascii="宋体" w:hAnsi="宋体"/>
          <w:highlight w:val="none"/>
        </w:rPr>
      </w:pPr>
      <w:r>
        <w:rPr>
          <w:rFonts w:hint="eastAsia" w:ascii="宋体" w:hAnsi="宋体"/>
          <w:highlight w:val="none"/>
        </w:rPr>
        <w:t>作为经营主体依照行业管理规范负责对</w:t>
      </w:r>
      <w:bookmarkStart w:id="1" w:name="OLE_LINK1"/>
      <w:r>
        <w:rPr>
          <w:rFonts w:hint="eastAsia" w:ascii="宋体" w:hAnsi="宋体"/>
          <w:highlight w:val="none"/>
        </w:rPr>
        <w:t>场内</w:t>
      </w:r>
      <w:r>
        <w:rPr>
          <w:rFonts w:hint="eastAsia" w:ascii="宋体" w:hAnsi="宋体" w:cs="宋体"/>
          <w:color w:val="1B1B1B"/>
          <w:kern w:val="0"/>
          <w:highlight w:val="none"/>
        </w:rPr>
        <w:t>场所、设施设备（含储存设施）及建筑物</w:t>
      </w:r>
      <w:bookmarkEnd w:id="1"/>
      <w:r>
        <w:rPr>
          <w:rFonts w:hint="eastAsia" w:ascii="宋体" w:hAnsi="宋体" w:cs="宋体"/>
          <w:color w:val="1B1B1B"/>
          <w:kern w:val="0"/>
          <w:highlight w:val="none"/>
        </w:rPr>
        <w:t>进行管理督导；</w:t>
      </w:r>
    </w:p>
    <w:p w14:paraId="62BE570C">
      <w:pPr>
        <w:pStyle w:val="12"/>
        <w:numPr>
          <w:ilvl w:val="3"/>
          <w:numId w:val="1"/>
        </w:numPr>
        <w:spacing w:line="500" w:lineRule="exact"/>
        <w:ind w:left="0" w:firstLine="480"/>
        <w:outlineLvl w:val="3"/>
        <w:rPr>
          <w:rFonts w:hint="eastAsia" w:ascii="宋体" w:hAnsi="宋体"/>
          <w:highlight w:val="none"/>
        </w:rPr>
      </w:pPr>
      <w:r>
        <w:rPr>
          <w:rFonts w:hint="eastAsia" w:ascii="宋体" w:hAnsi="宋体"/>
          <w:highlight w:val="none"/>
        </w:rPr>
        <w:t>乙方负责的经营管理事项包括：</w:t>
      </w:r>
    </w:p>
    <w:p w14:paraId="16D5469A">
      <w:pPr>
        <w:pStyle w:val="12"/>
        <w:numPr>
          <w:ilvl w:val="0"/>
          <w:numId w:val="9"/>
        </w:numPr>
        <w:spacing w:line="500" w:lineRule="exact"/>
        <w:ind w:firstLine="480"/>
        <w:rPr>
          <w:rFonts w:hint="eastAsia" w:ascii="宋体" w:hAnsi="宋体"/>
          <w:highlight w:val="none"/>
        </w:rPr>
      </w:pPr>
      <w:r>
        <w:rPr>
          <w:rFonts w:hint="eastAsia" w:ascii="宋体" w:hAnsi="宋体"/>
          <w:highlight w:val="none"/>
        </w:rPr>
        <w:t>按照《租赁合同》约定履行相应的承租人的义务；</w:t>
      </w:r>
    </w:p>
    <w:p w14:paraId="72A630DC">
      <w:pPr>
        <w:pStyle w:val="12"/>
        <w:numPr>
          <w:ilvl w:val="0"/>
          <w:numId w:val="9"/>
        </w:numPr>
        <w:spacing w:line="500" w:lineRule="exact"/>
        <w:ind w:firstLine="480"/>
        <w:rPr>
          <w:rFonts w:hint="eastAsia" w:ascii="宋体" w:hAnsi="宋体"/>
          <w:highlight w:val="none"/>
        </w:rPr>
      </w:pPr>
      <w:r>
        <w:rPr>
          <w:rFonts w:hint="eastAsia" w:ascii="宋体" w:hAnsi="宋体"/>
          <w:highlight w:val="none"/>
        </w:rPr>
        <w:t>接收加油站物业，根据加油站项目的经营要求，自筹加油站物业投入所需资金，对加油站物业实施加油站经营提供所需的必要投入并承担相应的成本费用和支付，包括但不限于加油站物业设施设备的新增投入或升级、加油站物业外观和标识的新增投入或翻新、加油站物业建筑物的非结构性修缮投入、加油站物业经营管理所需的信息化系统或收银管理系统投入及更新维护等。乙方对加油站物业实施前述投入的，应事先取得甲方的确认。</w:t>
      </w:r>
    </w:p>
    <w:p w14:paraId="2730930B">
      <w:pPr>
        <w:pStyle w:val="12"/>
        <w:numPr>
          <w:ilvl w:val="0"/>
          <w:numId w:val="9"/>
        </w:numPr>
        <w:spacing w:line="500" w:lineRule="exact"/>
        <w:ind w:firstLine="480"/>
        <w:rPr>
          <w:rFonts w:hint="eastAsia" w:ascii="宋体" w:hAnsi="宋体"/>
          <w:highlight w:val="none"/>
        </w:rPr>
      </w:pPr>
      <w:r>
        <w:rPr>
          <w:rFonts w:hint="eastAsia" w:ascii="宋体" w:hAnsi="宋体"/>
          <w:highlight w:val="none"/>
        </w:rPr>
        <w:t>自筹成品油生产或采购、以及运输所需资金，负责向加油站项目/甲方供应符合国家标准规范以及加油站项目需求的成品油，具体包括：成品油的生产或采购，运输并存放（卸油）至</w:t>
      </w:r>
      <w:bookmarkStart w:id="2" w:name="OLE_LINK10"/>
      <w:r>
        <w:rPr>
          <w:rFonts w:hint="eastAsia" w:ascii="宋体" w:hAnsi="宋体"/>
          <w:highlight w:val="none"/>
        </w:rPr>
        <w:t>加油站项目的储油罐内</w:t>
      </w:r>
      <w:bookmarkEnd w:id="2"/>
      <w:r>
        <w:rPr>
          <w:rFonts w:hint="eastAsia" w:ascii="宋体" w:hAnsi="宋体"/>
          <w:highlight w:val="none"/>
        </w:rPr>
        <w:t>，向甲方提供进油计划并接受检查，保障所供应成品油的质量，承担所提供成品油的采购和运输的相应成本费用和支付等；</w:t>
      </w:r>
    </w:p>
    <w:p w14:paraId="04CE521A">
      <w:pPr>
        <w:pStyle w:val="12"/>
        <w:numPr>
          <w:ilvl w:val="0"/>
          <w:numId w:val="9"/>
        </w:numPr>
        <w:spacing w:line="500" w:lineRule="exact"/>
        <w:ind w:firstLine="480"/>
        <w:rPr>
          <w:rFonts w:hint="eastAsia" w:ascii="宋体" w:hAnsi="宋体"/>
          <w:highlight w:val="none"/>
        </w:rPr>
      </w:pPr>
      <w:r>
        <w:rPr>
          <w:rFonts w:hint="eastAsia" w:ascii="宋体" w:hAnsi="宋体"/>
          <w:highlight w:val="none"/>
        </w:rPr>
        <w:t>自行根据行政主管部门要求办理履行本协议购买/运输油品义务所必须的危险化学品（成品油）批发行政许可登记等许可证照；</w:t>
      </w:r>
    </w:p>
    <w:p w14:paraId="6D5137B6">
      <w:pPr>
        <w:pStyle w:val="12"/>
        <w:numPr>
          <w:ilvl w:val="0"/>
          <w:numId w:val="9"/>
        </w:numPr>
        <w:spacing w:line="500" w:lineRule="exact"/>
        <w:ind w:firstLine="480"/>
        <w:rPr>
          <w:rFonts w:hint="eastAsia" w:ascii="宋体" w:hAnsi="宋体"/>
          <w:highlight w:val="none"/>
        </w:rPr>
      </w:pPr>
      <w:r>
        <w:rPr>
          <w:rFonts w:hint="eastAsia" w:ascii="宋体" w:hAnsi="宋体"/>
          <w:highlight w:val="none"/>
        </w:rPr>
        <w:t>接受甲方督导，负责开展对成品油库存进行现场管理，及时补充销售所需的成品油库存；</w:t>
      </w:r>
    </w:p>
    <w:p w14:paraId="147ECBED">
      <w:pPr>
        <w:pStyle w:val="12"/>
        <w:numPr>
          <w:ilvl w:val="0"/>
          <w:numId w:val="9"/>
        </w:numPr>
        <w:spacing w:line="500" w:lineRule="exact"/>
        <w:ind w:firstLine="480"/>
        <w:rPr>
          <w:rFonts w:hint="eastAsia" w:ascii="宋体" w:hAnsi="宋体"/>
          <w:highlight w:val="none"/>
        </w:rPr>
      </w:pPr>
      <w:r>
        <w:rPr>
          <w:rFonts w:hint="eastAsia" w:ascii="宋体" w:hAnsi="宋体"/>
          <w:highlight w:val="none"/>
        </w:rPr>
        <w:t>提供客户加油操作服务以及加油站收银结算柜台操作；</w:t>
      </w:r>
    </w:p>
    <w:p w14:paraId="589669EC">
      <w:pPr>
        <w:pStyle w:val="12"/>
        <w:numPr>
          <w:ilvl w:val="0"/>
          <w:numId w:val="9"/>
        </w:numPr>
        <w:spacing w:line="500" w:lineRule="exact"/>
        <w:ind w:firstLine="480"/>
        <w:rPr>
          <w:rFonts w:hint="eastAsia" w:ascii="宋体" w:hAnsi="宋体"/>
          <w:highlight w:val="none"/>
        </w:rPr>
      </w:pPr>
      <w:r>
        <w:rPr>
          <w:rFonts w:hint="eastAsia" w:ascii="宋体" w:hAnsi="宋体"/>
          <w:highlight w:val="none"/>
        </w:rPr>
        <w:t>投入/安装/更新并维护加油站项目的信息化系统，包括中控管理系统（或相应与加油设备相连的信息化系统）、收银和进销存系统、监控设施等，并为甲方提供该等系统的最高管理权限账户，确保甲方可通过该等系统有效实现本协议项下的收款、开票、监管等经营管理职责和管控、掌握和核对加油站内成品油销售以及其他经营活动情况（销售量、销售价格、支付方式收款到账情况）；组织加油站内便利店及其他零售、洗车等经营（非成品油类经营）活动；</w:t>
      </w:r>
    </w:p>
    <w:p w14:paraId="44618FD5">
      <w:pPr>
        <w:pStyle w:val="12"/>
        <w:numPr>
          <w:ilvl w:val="0"/>
          <w:numId w:val="9"/>
        </w:numPr>
        <w:spacing w:line="500" w:lineRule="exact"/>
        <w:ind w:firstLineChars="0"/>
        <w:rPr>
          <w:rFonts w:hint="eastAsia" w:ascii="宋体" w:hAnsi="宋体"/>
          <w:highlight w:val="none"/>
        </w:rPr>
      </w:pPr>
      <w:r>
        <w:rPr>
          <w:rFonts w:hint="eastAsia" w:ascii="宋体" w:hAnsi="宋体"/>
          <w:highlight w:val="none"/>
        </w:rPr>
        <w:t>派驻加油站运营所需的工作人员（包括但不限于甲方派员以外的相关专业持证人员、现场管理人员、加油机操作员、收银或出纳员、会计或统计人员、开票员、电工、安全素质量管理员、便利店服务员等），并接受甲方派驻管理人员的现场管理；</w:t>
      </w:r>
    </w:p>
    <w:p w14:paraId="2AD43BFB">
      <w:pPr>
        <w:pStyle w:val="12"/>
        <w:numPr>
          <w:ilvl w:val="0"/>
          <w:numId w:val="9"/>
        </w:numPr>
        <w:spacing w:line="500" w:lineRule="exact"/>
        <w:ind w:firstLine="480"/>
        <w:rPr>
          <w:rFonts w:hint="eastAsia" w:ascii="宋体" w:hAnsi="宋体"/>
          <w:highlight w:val="none"/>
        </w:rPr>
      </w:pPr>
      <w:r>
        <w:rPr>
          <w:rFonts w:hint="eastAsia" w:ascii="宋体" w:hAnsi="宋体"/>
          <w:highlight w:val="none"/>
        </w:rPr>
        <w:t>向甲方提供成品油销售定价方案，经甲方确认后实施，并接受甲方管理；</w:t>
      </w:r>
    </w:p>
    <w:p w14:paraId="2C299262">
      <w:pPr>
        <w:pStyle w:val="12"/>
        <w:numPr>
          <w:ilvl w:val="0"/>
          <w:numId w:val="9"/>
        </w:numPr>
        <w:spacing w:line="500" w:lineRule="exact"/>
        <w:ind w:firstLine="480"/>
        <w:rPr>
          <w:rFonts w:hint="eastAsia" w:ascii="宋体" w:hAnsi="宋体"/>
          <w:highlight w:val="none"/>
        </w:rPr>
      </w:pPr>
      <w:r>
        <w:rPr>
          <w:rFonts w:hint="eastAsia" w:ascii="宋体" w:hAnsi="宋体"/>
          <w:highlight w:val="none"/>
        </w:rPr>
        <w:t>乙方向加油站项目/甲方供应成品油，应根据甲方要求向甲方开具与乙方收入等额的成品油销售发票；双方确认，乙方开具发票确认的收入包括以收取分成方式计算的成品油采购款以及乙方应收回甲方使用储油罐、加油设备等资产的相关费用；</w:t>
      </w:r>
    </w:p>
    <w:p w14:paraId="5A51B167">
      <w:pPr>
        <w:pStyle w:val="12"/>
        <w:numPr>
          <w:ilvl w:val="0"/>
          <w:numId w:val="9"/>
        </w:numPr>
        <w:spacing w:line="500" w:lineRule="exact"/>
        <w:ind w:firstLine="480"/>
        <w:rPr>
          <w:rFonts w:hint="eastAsia" w:ascii="宋体" w:hAnsi="宋体"/>
          <w:highlight w:val="none"/>
        </w:rPr>
      </w:pPr>
      <w:r>
        <w:rPr>
          <w:rFonts w:hint="eastAsia" w:ascii="宋体" w:hAnsi="宋体"/>
          <w:highlight w:val="none"/>
        </w:rPr>
        <w:t>配合甲方组织现场安全生产管理工作，向甲方提供现场安全生产管理与应急方案（含年度工作预算）并根据甲方书面确认后实施落实；</w:t>
      </w:r>
    </w:p>
    <w:p w14:paraId="1078FA60">
      <w:pPr>
        <w:pStyle w:val="12"/>
        <w:numPr>
          <w:ilvl w:val="0"/>
          <w:numId w:val="9"/>
        </w:numPr>
        <w:spacing w:line="500" w:lineRule="exact"/>
        <w:ind w:firstLine="480"/>
        <w:rPr>
          <w:rFonts w:hint="eastAsia" w:ascii="宋体" w:hAnsi="宋体" w:cs="Cambria Math"/>
          <w:highlight w:val="none"/>
        </w:rPr>
      </w:pPr>
      <w:r>
        <w:rPr>
          <w:rFonts w:hint="eastAsia" w:ascii="宋体" w:hAnsi="宋体"/>
          <w:highlight w:val="none"/>
        </w:rPr>
        <w:t>根据甲方要求整改加油站项目经营的不规范事项，开展除甲方所负责经营管理事项外加油</w:t>
      </w:r>
      <w:r>
        <w:rPr>
          <w:rFonts w:hint="eastAsia" w:ascii="宋体" w:hAnsi="宋体" w:cs="Cambria Math"/>
          <w:highlight w:val="none"/>
        </w:rPr>
        <w:t>站项目经营的其他相关工作。</w:t>
      </w:r>
    </w:p>
    <w:p w14:paraId="621C6CF6">
      <w:pPr>
        <w:pStyle w:val="12"/>
        <w:numPr>
          <w:ilvl w:val="0"/>
          <w:numId w:val="7"/>
        </w:numPr>
        <w:spacing w:line="500" w:lineRule="exact"/>
        <w:ind w:firstLineChars="0"/>
        <w:outlineLvl w:val="2"/>
        <w:rPr>
          <w:rFonts w:hint="eastAsia" w:ascii="宋体" w:hAnsi="宋体"/>
          <w:b/>
          <w:highlight w:val="none"/>
        </w:rPr>
      </w:pPr>
      <w:r>
        <w:rPr>
          <w:rFonts w:hint="eastAsia" w:ascii="宋体" w:hAnsi="宋体"/>
          <w:b/>
          <w:highlight w:val="none"/>
        </w:rPr>
        <w:t>人员委派及成本承担</w:t>
      </w:r>
    </w:p>
    <w:p w14:paraId="02BB2A58">
      <w:pPr>
        <w:pStyle w:val="12"/>
        <w:numPr>
          <w:ilvl w:val="3"/>
          <w:numId w:val="10"/>
        </w:numPr>
        <w:spacing w:line="500" w:lineRule="exact"/>
        <w:ind w:left="0" w:firstLine="480"/>
        <w:rPr>
          <w:rFonts w:hint="eastAsia" w:ascii="宋体" w:hAnsi="宋体" w:cs="Cambria Math"/>
          <w:highlight w:val="none"/>
        </w:rPr>
      </w:pPr>
      <w:r>
        <w:rPr>
          <w:rFonts w:hint="eastAsia" w:ascii="宋体" w:hAnsi="宋体" w:cs="Cambria Math"/>
          <w:highlight w:val="none"/>
        </w:rPr>
        <w:t>双方确认，双方应根据本协议约定的经营管理职责，各自委派相应的人员并各自承担派驻加油站运营所需的工作人员的人力成本和支付；双方应自行承担开展相应经营管理事项的开支和成本，该等开支和成本不作为双方取得加油站项目经营分成的依据；</w:t>
      </w:r>
    </w:p>
    <w:p w14:paraId="721D96DD">
      <w:pPr>
        <w:pStyle w:val="12"/>
        <w:numPr>
          <w:ilvl w:val="3"/>
          <w:numId w:val="10"/>
        </w:numPr>
        <w:spacing w:line="500" w:lineRule="exact"/>
        <w:ind w:left="0" w:firstLine="480"/>
        <w:rPr>
          <w:rFonts w:hint="eastAsia" w:ascii="宋体" w:hAnsi="宋体" w:cs="Cambria Math"/>
          <w:highlight w:val="none"/>
        </w:rPr>
      </w:pPr>
      <w:r>
        <w:rPr>
          <w:rFonts w:hint="eastAsia" w:ascii="宋体" w:hAnsi="宋体" w:cs="Cambria Math"/>
          <w:highlight w:val="none"/>
        </w:rPr>
        <w:t>乙方应与乙方委派人员建立合法的雇佣关系，不得因与其委派人员发生的劳动争议或纠纷损害甲方或加油站项目的利益，否则乙方负责解决并赔偿全部损失；</w:t>
      </w:r>
    </w:p>
    <w:p w14:paraId="1C874F3E">
      <w:pPr>
        <w:pStyle w:val="12"/>
        <w:numPr>
          <w:ilvl w:val="3"/>
          <w:numId w:val="10"/>
        </w:numPr>
        <w:spacing w:line="500" w:lineRule="exact"/>
        <w:ind w:left="0" w:firstLine="480"/>
        <w:rPr>
          <w:rFonts w:hint="eastAsia" w:ascii="宋体" w:hAnsi="宋体" w:cs="Cambria Math"/>
          <w:highlight w:val="none"/>
        </w:rPr>
      </w:pPr>
      <w:r>
        <w:rPr>
          <w:rFonts w:hint="eastAsia" w:ascii="宋体" w:hAnsi="宋体" w:cs="Cambria Math"/>
          <w:highlight w:val="none"/>
        </w:rPr>
        <w:t>甲方派驻管理人员负责现场管控和协调工作，负责管控、掌握和核对加油站内成品油销售以及其他经营活动情况（销售量、销售价格、支付方式收款到账情况），安排工作人员落实安全生产管理相关工作，乙方应向甲方派驻管理人员提供管理便利，设置和开放加油站项目场内中控管理系统（或相应与加油设备相连的信息化系统）、收银和进销存系统、监控设施等系统的最高管理权限账户；</w:t>
      </w:r>
    </w:p>
    <w:p w14:paraId="38D8F070">
      <w:pPr>
        <w:pStyle w:val="12"/>
        <w:numPr>
          <w:ilvl w:val="3"/>
          <w:numId w:val="10"/>
        </w:numPr>
        <w:spacing w:line="500" w:lineRule="exact"/>
        <w:ind w:left="0" w:firstLine="480"/>
        <w:rPr>
          <w:rFonts w:hint="eastAsia" w:ascii="宋体" w:hAnsi="宋体" w:cs="Cambria Math"/>
          <w:highlight w:val="none"/>
        </w:rPr>
      </w:pPr>
      <w:r>
        <w:rPr>
          <w:rFonts w:hint="eastAsia" w:ascii="宋体" w:hAnsi="宋体" w:cs="Cambria Math"/>
          <w:highlight w:val="none"/>
        </w:rPr>
        <w:t>乙方派驻人员应负责编排各周期（年/季/月）经营计划，开展日常经营和销售具体工作，落实负责的联营相关工作，服从甲方派驻管理人员的管理安排。</w:t>
      </w:r>
    </w:p>
    <w:p w14:paraId="2D11228F">
      <w:pPr>
        <w:pStyle w:val="12"/>
        <w:numPr>
          <w:ilvl w:val="0"/>
          <w:numId w:val="7"/>
        </w:numPr>
        <w:spacing w:line="500" w:lineRule="exact"/>
        <w:ind w:firstLineChars="0"/>
        <w:outlineLvl w:val="2"/>
        <w:rPr>
          <w:rFonts w:hint="eastAsia" w:ascii="宋体" w:hAnsi="宋体" w:cs="Cambria Math"/>
          <w:b/>
          <w:highlight w:val="none"/>
        </w:rPr>
      </w:pPr>
      <w:r>
        <w:rPr>
          <w:rFonts w:hint="eastAsia" w:ascii="宋体" w:hAnsi="宋体" w:cs="Cambria Math"/>
          <w:b/>
          <w:highlight w:val="none"/>
        </w:rPr>
        <w:t>非成品油经营活动</w:t>
      </w:r>
    </w:p>
    <w:p w14:paraId="50F803C0">
      <w:pPr>
        <w:pStyle w:val="12"/>
        <w:spacing w:line="500" w:lineRule="exact"/>
        <w:ind w:firstLine="480"/>
        <w:rPr>
          <w:rFonts w:hint="eastAsia" w:ascii="宋体" w:hAnsi="宋体" w:cs="Cambria Math"/>
          <w:highlight w:val="none"/>
        </w:rPr>
      </w:pPr>
      <w:r>
        <w:rPr>
          <w:rFonts w:hint="eastAsia" w:ascii="宋体" w:hAnsi="宋体" w:cs="Cambria Math"/>
          <w:highlight w:val="none"/>
        </w:rPr>
        <w:t>经甲方书面同意的，乙方可在加油站物业内开展非成品油经营活动（便利店及其他零售、洗车服务等），并应符合以下要求：</w:t>
      </w:r>
    </w:p>
    <w:p w14:paraId="49C137D2">
      <w:pPr>
        <w:pStyle w:val="12"/>
        <w:numPr>
          <w:ilvl w:val="3"/>
          <w:numId w:val="11"/>
        </w:numPr>
        <w:spacing w:line="500" w:lineRule="exact"/>
        <w:ind w:left="0" w:firstLine="480"/>
        <w:rPr>
          <w:rFonts w:hint="eastAsia" w:ascii="宋体" w:hAnsi="宋体" w:cs="Cambria Math"/>
          <w:highlight w:val="none"/>
        </w:rPr>
      </w:pPr>
      <w:r>
        <w:rPr>
          <w:rFonts w:hint="eastAsia" w:ascii="宋体" w:hAnsi="宋体" w:cs="Cambria Math"/>
          <w:highlight w:val="none"/>
        </w:rPr>
        <w:t>乙方应向甲方提交非成品油经营方案，经甲方书面确认后实施；</w:t>
      </w:r>
    </w:p>
    <w:p w14:paraId="13C084E7">
      <w:pPr>
        <w:pStyle w:val="12"/>
        <w:numPr>
          <w:ilvl w:val="3"/>
          <w:numId w:val="11"/>
        </w:numPr>
        <w:spacing w:line="500" w:lineRule="exact"/>
        <w:ind w:left="0" w:firstLine="480"/>
        <w:rPr>
          <w:rFonts w:hint="eastAsia" w:ascii="宋体" w:hAnsi="宋体" w:cs="Cambria Math"/>
          <w:highlight w:val="none"/>
        </w:rPr>
      </w:pPr>
      <w:r>
        <w:rPr>
          <w:rFonts w:hint="eastAsia" w:ascii="宋体" w:hAnsi="宋体" w:cs="Cambria Math"/>
          <w:highlight w:val="none"/>
        </w:rPr>
        <w:t>乙方开展非成品油经营活动的，应负责非成品油经营活动的合法合规性（包括但不限于取得必要的许可证照、符合产品质量要求等）。若乙方未依法开展非成品油经营活动的，或在非成品油经营过程中与第三方产生争议纠纷、债权债务（包括但不限于产品质量问题、拖欠第三方欠款等）的，由乙方承担全部责任，因此造成甲方损失的，应继续承担赔偿责任；</w:t>
      </w:r>
    </w:p>
    <w:p w14:paraId="0AE124F7">
      <w:pPr>
        <w:pStyle w:val="12"/>
        <w:numPr>
          <w:ilvl w:val="3"/>
          <w:numId w:val="11"/>
        </w:numPr>
        <w:spacing w:line="500" w:lineRule="exact"/>
        <w:ind w:left="0" w:firstLine="480"/>
        <w:rPr>
          <w:rFonts w:hint="eastAsia" w:ascii="宋体" w:hAnsi="宋体" w:cs="Cambria Math"/>
          <w:highlight w:val="none"/>
        </w:rPr>
      </w:pPr>
      <w:r>
        <w:rPr>
          <w:rFonts w:hint="eastAsia" w:ascii="宋体" w:hAnsi="宋体" w:cs="Cambria Math"/>
          <w:highlight w:val="none"/>
        </w:rPr>
        <w:t>乙方应配合甲方对非成品油经营活动的合规性和产品及服务质量进行抽查监督，并根据甲方要求及时整改；</w:t>
      </w:r>
    </w:p>
    <w:p w14:paraId="36D6FC4B">
      <w:pPr>
        <w:pStyle w:val="12"/>
        <w:numPr>
          <w:ilvl w:val="3"/>
          <w:numId w:val="11"/>
        </w:numPr>
        <w:spacing w:line="500" w:lineRule="exact"/>
        <w:ind w:left="0" w:firstLine="480"/>
        <w:rPr>
          <w:rFonts w:hint="eastAsia" w:ascii="宋体" w:hAnsi="宋体" w:cs="Cambria Math"/>
          <w:highlight w:val="none"/>
        </w:rPr>
      </w:pPr>
      <w:r>
        <w:rPr>
          <w:rFonts w:hint="eastAsia" w:ascii="宋体" w:hAnsi="宋体" w:cs="Cambria Math"/>
          <w:highlight w:val="none"/>
        </w:rPr>
        <w:t>乙方应负责非成品油经营活动的进货、服务、销售收款及对外发票开具，承担采购和服务对应的成本费用和支付；</w:t>
      </w:r>
    </w:p>
    <w:p w14:paraId="577D604E">
      <w:pPr>
        <w:pStyle w:val="12"/>
        <w:numPr>
          <w:ilvl w:val="3"/>
          <w:numId w:val="11"/>
        </w:numPr>
        <w:spacing w:line="500" w:lineRule="exact"/>
        <w:ind w:left="0" w:firstLine="480"/>
        <w:rPr>
          <w:rFonts w:hint="eastAsia" w:ascii="宋体" w:hAnsi="宋体" w:cs="Cambria Math"/>
          <w:highlight w:val="none"/>
        </w:rPr>
      </w:pPr>
      <w:r>
        <w:rPr>
          <w:rFonts w:hint="eastAsia" w:ascii="宋体" w:hAnsi="宋体" w:cs="Cambria Math"/>
          <w:highlight w:val="none"/>
        </w:rPr>
        <w:t>甲方为加油站项目的非成品油经营活动提供管理服务，乙方应接受并配合甲方的管理。乙方应按本协议约定的非成品油销售收款结算规则和收入分成约定向甲方进行分成和支付，乙方向甲方支付的分成为甲方就非成品油经营活动提供管理服务的服务费，甲方根据收取的分成向乙方开具相应金额的发票。</w:t>
      </w:r>
    </w:p>
    <w:p w14:paraId="6C2A1CAD">
      <w:pPr>
        <w:pStyle w:val="12"/>
        <w:numPr>
          <w:ilvl w:val="0"/>
          <w:numId w:val="7"/>
        </w:numPr>
        <w:spacing w:line="500" w:lineRule="exact"/>
        <w:ind w:firstLineChars="0"/>
        <w:outlineLvl w:val="2"/>
        <w:rPr>
          <w:rFonts w:hint="eastAsia" w:ascii="宋体" w:hAnsi="宋体" w:cs="Cambria Math"/>
          <w:b/>
          <w:highlight w:val="none"/>
        </w:rPr>
      </w:pPr>
      <w:r>
        <w:rPr>
          <w:rFonts w:hint="eastAsia" w:ascii="宋体" w:hAnsi="宋体" w:cs="Cambria Math"/>
          <w:b/>
          <w:highlight w:val="none"/>
        </w:rPr>
        <w:t>加油站项目的品牌及标识</w:t>
      </w:r>
    </w:p>
    <w:p w14:paraId="6FF71591">
      <w:pPr>
        <w:pStyle w:val="12"/>
        <w:numPr>
          <w:ilvl w:val="3"/>
          <w:numId w:val="12"/>
        </w:numPr>
        <w:spacing w:line="500" w:lineRule="exact"/>
        <w:ind w:left="0" w:firstLine="480"/>
        <w:rPr>
          <w:rFonts w:hint="eastAsia" w:ascii="宋体" w:hAnsi="宋体" w:cs="Cambria Math"/>
          <w:highlight w:val="none"/>
        </w:rPr>
      </w:pPr>
      <w:r>
        <w:rPr>
          <w:rFonts w:hint="eastAsia" w:ascii="宋体" w:hAnsi="宋体" w:cs="Cambria Math"/>
          <w:highlight w:val="none"/>
        </w:rPr>
        <w:t>乙方负责提供其具有完整权属或经合法授权取得的相关加油站品牌及标识作为加油站项目的品牌及标识，并承担相应的全部费用（如有）。如因乙方未取得相关品牌或标识的授权所产生的争议纠纷，由乙方承担全部责任；</w:t>
      </w:r>
    </w:p>
    <w:p w14:paraId="512BE108">
      <w:pPr>
        <w:pStyle w:val="12"/>
        <w:numPr>
          <w:ilvl w:val="3"/>
          <w:numId w:val="12"/>
        </w:numPr>
        <w:spacing w:line="500" w:lineRule="exact"/>
        <w:ind w:left="0" w:firstLine="480"/>
        <w:rPr>
          <w:rFonts w:hint="eastAsia" w:ascii="宋体" w:hAnsi="宋体" w:cs="Cambria Math"/>
          <w:highlight w:val="none"/>
        </w:rPr>
      </w:pPr>
      <w:r>
        <w:rPr>
          <w:rFonts w:hint="eastAsia" w:ascii="宋体" w:hAnsi="宋体" w:cs="Cambria Math"/>
          <w:highlight w:val="none"/>
        </w:rPr>
        <w:t>乙方应在本协议签署之日起【1</w:t>
      </w:r>
      <w:r>
        <w:rPr>
          <w:rFonts w:ascii="宋体" w:hAnsi="宋体" w:cs="Cambria Math"/>
          <w:highlight w:val="none"/>
        </w:rPr>
        <w:t>0</w:t>
      </w:r>
      <w:r>
        <w:rPr>
          <w:rFonts w:hint="eastAsia" w:ascii="宋体" w:hAnsi="宋体" w:cs="Cambria Math"/>
          <w:highlight w:val="none"/>
        </w:rPr>
        <w:t>】日内向甲方提供加油站项目的品牌及标识方案（VI方案），甲方有权提议增设其相关标识或对原方案提出修正意见，方案经双方同意后方可实施。</w:t>
      </w:r>
    </w:p>
    <w:p w14:paraId="1289C904">
      <w:pPr>
        <w:pStyle w:val="12"/>
        <w:numPr>
          <w:ilvl w:val="0"/>
          <w:numId w:val="7"/>
        </w:numPr>
        <w:spacing w:line="500" w:lineRule="exact"/>
        <w:ind w:firstLineChars="0"/>
        <w:outlineLvl w:val="2"/>
        <w:rPr>
          <w:rFonts w:hint="eastAsia" w:ascii="宋体" w:hAnsi="宋体" w:cs="Cambria Math"/>
          <w:b/>
          <w:highlight w:val="none"/>
        </w:rPr>
      </w:pPr>
      <w:r>
        <w:rPr>
          <w:rFonts w:hint="eastAsia" w:ascii="宋体" w:hAnsi="宋体" w:cs="Cambria Math"/>
          <w:b/>
          <w:highlight w:val="none"/>
        </w:rPr>
        <w:t>成品油的销售价格与收款</w:t>
      </w:r>
    </w:p>
    <w:p w14:paraId="3CF7D27E">
      <w:pPr>
        <w:pStyle w:val="12"/>
        <w:numPr>
          <w:ilvl w:val="3"/>
          <w:numId w:val="13"/>
        </w:numPr>
        <w:spacing w:line="500" w:lineRule="exact"/>
        <w:ind w:left="0" w:firstLine="480"/>
        <w:rPr>
          <w:rFonts w:hint="eastAsia" w:ascii="宋体" w:hAnsi="宋体" w:cs="Cambria Math"/>
          <w:highlight w:val="none"/>
        </w:rPr>
      </w:pPr>
      <w:r>
        <w:rPr>
          <w:rFonts w:hint="eastAsia" w:ascii="宋体" w:hAnsi="宋体" w:cs="Cambria Math"/>
          <w:highlight w:val="none"/>
        </w:rPr>
        <w:t>成品油销售价格</w:t>
      </w:r>
    </w:p>
    <w:p w14:paraId="1C00123D">
      <w:pPr>
        <w:pStyle w:val="12"/>
        <w:spacing w:line="500" w:lineRule="exact"/>
        <w:ind w:firstLine="480"/>
        <w:rPr>
          <w:rFonts w:hint="eastAsia" w:ascii="宋体" w:hAnsi="宋体" w:cs="Cambria Math"/>
          <w:highlight w:val="none"/>
        </w:rPr>
      </w:pPr>
      <w:r>
        <w:rPr>
          <w:rFonts w:hint="eastAsia" w:ascii="宋体" w:hAnsi="宋体" w:cs="Cambria Math"/>
          <w:highlight w:val="none"/>
        </w:rPr>
        <w:t>双方确认，</w:t>
      </w:r>
      <w:r>
        <w:rPr>
          <w:rFonts w:hint="eastAsia" w:ascii="宋体" w:hAnsi="宋体"/>
          <w:highlight w:val="none"/>
        </w:rPr>
        <w:t>加油站项目的储存设施由甲方管理、控制，</w:t>
      </w:r>
      <w:r>
        <w:rPr>
          <w:rFonts w:hint="eastAsia" w:ascii="宋体" w:hAnsi="宋体" w:cs="Cambria Math"/>
          <w:highlight w:val="none"/>
        </w:rPr>
        <w:t>自乙方供应成品油进入</w:t>
      </w:r>
      <w:r>
        <w:rPr>
          <w:rFonts w:hint="eastAsia" w:ascii="宋体" w:hAnsi="宋体"/>
          <w:highlight w:val="none"/>
        </w:rPr>
        <w:t>加油站项目的储油罐内，成品油所有权即转移至甲方名下，成为甲方资产，甲方对其拥有完整且合法权属。</w:t>
      </w:r>
      <w:r>
        <w:rPr>
          <w:rFonts w:hint="eastAsia" w:ascii="宋体" w:hAnsi="宋体" w:cs="Cambria Math"/>
          <w:highlight w:val="none"/>
        </w:rPr>
        <w:t>乙方应按市场行情制定销售当天或当期的销售定价和优惠政策方案并报甲方的派驻管理人员审核，甲方授权派驻管理人员按市场化原则进行审定后执行；</w:t>
      </w:r>
    </w:p>
    <w:p w14:paraId="15B56FEA">
      <w:pPr>
        <w:pStyle w:val="12"/>
        <w:spacing w:line="500" w:lineRule="exact"/>
        <w:ind w:firstLine="480"/>
        <w:rPr>
          <w:rFonts w:hint="eastAsia" w:ascii="宋体" w:hAnsi="宋体" w:cs="Cambria Math"/>
          <w:highlight w:val="none"/>
        </w:rPr>
      </w:pPr>
      <w:r>
        <w:rPr>
          <w:rFonts w:hint="eastAsia" w:ascii="宋体" w:hAnsi="宋体" w:cs="Cambria Math"/>
          <w:highlight w:val="none"/>
        </w:rPr>
        <w:t>乙方有权结合市场行情制定各类促销方案（包括但不限于零售终端直减、线上支付平台优惠、大客户优惠、乙方或其授权品牌名下的预存款、储值卡预存充值折扣等）并提交甲方授权的管理人员审核，甲方授权的管理人员按市场化原则审定后由乙方按照审定内容实施销售价格；</w:t>
      </w:r>
    </w:p>
    <w:p w14:paraId="09FB4019">
      <w:pPr>
        <w:pStyle w:val="12"/>
        <w:spacing w:line="500" w:lineRule="exact"/>
        <w:ind w:firstLine="480"/>
        <w:rPr>
          <w:rFonts w:hint="eastAsia" w:ascii="宋体" w:hAnsi="宋体" w:cs="Cambria Math"/>
          <w:highlight w:val="none"/>
        </w:rPr>
      </w:pPr>
      <w:r>
        <w:rPr>
          <w:rFonts w:hint="eastAsia" w:ascii="宋体" w:hAnsi="宋体" w:cs="Cambria Math"/>
          <w:highlight w:val="none"/>
        </w:rPr>
        <w:t>双方应及时做好市场量价关系的信息分享，定价应按销售收入最大化的市场化为原则设置，甲方及甲方派驻管理人员有权随时对违反行业管理规则或明显偏离市场行情的定价方案予以修正或调整。</w:t>
      </w:r>
    </w:p>
    <w:p w14:paraId="1ADC2DF8">
      <w:pPr>
        <w:pStyle w:val="12"/>
        <w:numPr>
          <w:ilvl w:val="3"/>
          <w:numId w:val="13"/>
        </w:numPr>
        <w:spacing w:line="500" w:lineRule="exact"/>
        <w:ind w:left="0" w:firstLine="480"/>
        <w:rPr>
          <w:rFonts w:hint="eastAsia" w:ascii="宋体" w:hAnsi="宋体" w:cs="Cambria Math"/>
          <w:highlight w:val="none"/>
        </w:rPr>
      </w:pPr>
      <w:r>
        <w:rPr>
          <w:rFonts w:hint="eastAsia" w:ascii="宋体" w:hAnsi="宋体" w:cs="Cambria Math"/>
          <w:highlight w:val="none"/>
        </w:rPr>
        <w:t>成品油销售收款</w:t>
      </w:r>
    </w:p>
    <w:p w14:paraId="0395CC6E">
      <w:pPr>
        <w:pStyle w:val="12"/>
        <w:numPr>
          <w:ilvl w:val="0"/>
          <w:numId w:val="14"/>
        </w:numPr>
        <w:spacing w:line="500" w:lineRule="exact"/>
        <w:ind w:firstLine="480"/>
        <w:rPr>
          <w:rFonts w:hint="eastAsia" w:ascii="宋体" w:hAnsi="宋体" w:cs="Cambria Math"/>
          <w:highlight w:val="none"/>
        </w:rPr>
      </w:pPr>
      <w:r>
        <w:rPr>
          <w:rFonts w:hint="eastAsia" w:ascii="宋体" w:hAnsi="宋体" w:cs="Cambria Math"/>
          <w:highlight w:val="none"/>
        </w:rPr>
        <w:t>加油站项目应由甲方开设账户，并以甲方名下账户实施统一的成品油销售收款，包括但不限于现金收款、银行转账、第三方支付（POS机、微信扫码、支付宝扫码、微信小程序等）等；</w:t>
      </w:r>
    </w:p>
    <w:p w14:paraId="58FCCA85">
      <w:pPr>
        <w:pStyle w:val="12"/>
        <w:numPr>
          <w:ilvl w:val="0"/>
          <w:numId w:val="14"/>
        </w:numPr>
        <w:spacing w:line="500" w:lineRule="exact"/>
        <w:ind w:firstLine="480"/>
        <w:rPr>
          <w:rFonts w:hint="eastAsia" w:ascii="宋体" w:hAnsi="宋体" w:cs="Cambria Math"/>
          <w:highlight w:val="none"/>
        </w:rPr>
      </w:pPr>
      <w:r>
        <w:rPr>
          <w:rFonts w:hint="eastAsia" w:ascii="宋体" w:hAnsi="宋体" w:cs="Cambria Math"/>
          <w:highlight w:val="none"/>
        </w:rPr>
        <w:t>乙方应在本协议签署之日起【30】日内，协助甲方完成开设收款账户并关联至加油站项目的信息化系统，确保加油站项目发生的全部成品油经营行为对应的销售收款（不含预存款行为）直接支付至甲方名下账户；现金收款应按甲方财务管理要求，经甲方派驻管理人员确认后存入甲方账户；</w:t>
      </w:r>
    </w:p>
    <w:p w14:paraId="4290E76F">
      <w:pPr>
        <w:pStyle w:val="12"/>
        <w:numPr>
          <w:ilvl w:val="0"/>
          <w:numId w:val="14"/>
        </w:numPr>
        <w:spacing w:line="500" w:lineRule="exact"/>
        <w:ind w:firstLine="480"/>
        <w:rPr>
          <w:rFonts w:hint="eastAsia" w:ascii="宋体" w:hAnsi="宋体" w:cs="Cambria Math"/>
          <w:highlight w:val="none"/>
        </w:rPr>
      </w:pPr>
      <w:r>
        <w:rPr>
          <w:rFonts w:hint="eastAsia" w:ascii="宋体" w:hAnsi="宋体" w:cs="Cambria Math"/>
          <w:highlight w:val="none"/>
        </w:rPr>
        <w:t>乙方不得安排乙方账户或其他关联账户实施收款，不得人为设置中间收款账户，如乙方已搭建线上商户收款系统或其他渠道销售收款协议的，应将该收款系统中或其他渠道销售收款协议中关于加油站项目的收款账户直接设定为甲方名下账户；对于不能设定收款账户为甲方名下账户的，通过该等渠道收取款项经甲方同意可参照预存款或储值卡消费的规则管理；</w:t>
      </w:r>
    </w:p>
    <w:p w14:paraId="6C7E492E">
      <w:pPr>
        <w:pStyle w:val="12"/>
        <w:numPr>
          <w:ilvl w:val="0"/>
          <w:numId w:val="14"/>
        </w:numPr>
        <w:spacing w:line="500" w:lineRule="exact"/>
        <w:ind w:firstLine="480"/>
        <w:rPr>
          <w:rFonts w:hint="eastAsia" w:ascii="宋体" w:hAnsi="宋体" w:cs="Cambria Math"/>
          <w:highlight w:val="none"/>
        </w:rPr>
      </w:pPr>
      <w:r>
        <w:rPr>
          <w:rFonts w:hint="eastAsia" w:ascii="宋体" w:hAnsi="宋体" w:cs="Cambria Math"/>
          <w:highlight w:val="none"/>
        </w:rPr>
        <w:t>双方确认本加油站项目不提供预存款账户的开设或储值卡的开卡、存款服务，乙方不得在加油站项目内组织或提供相应服务和标识。乙方提供的品牌或其自身管理体系属于集团型企业或加油站连锁经营企业且经授权可合法合规实行加油站网点间预存款、储值卡的，乙方应向甲方提供必要的证明/许可，并向甲方提交加油站项目使用预存款、储值卡进行加油消费的申请，经甲方同意后，本加油站项目的客户可使用乙方或其授权品牌名下的预存款、储值卡进行加油付款；</w:t>
      </w:r>
    </w:p>
    <w:p w14:paraId="461CAD0B">
      <w:pPr>
        <w:pStyle w:val="12"/>
        <w:numPr>
          <w:ilvl w:val="0"/>
          <w:numId w:val="14"/>
        </w:numPr>
        <w:spacing w:line="500" w:lineRule="exact"/>
        <w:ind w:firstLine="480"/>
        <w:rPr>
          <w:rFonts w:hint="eastAsia" w:ascii="宋体" w:hAnsi="宋体" w:cs="Cambria Math"/>
          <w:highlight w:val="none"/>
        </w:rPr>
      </w:pPr>
      <w:r>
        <w:rPr>
          <w:rFonts w:hint="eastAsia" w:ascii="宋体" w:hAnsi="宋体" w:cs="Cambria Math"/>
          <w:highlight w:val="none"/>
        </w:rPr>
        <w:t>第三方（客户）通过预存款、储值卡等方式付款使甲方未直接收取成品油销售款的，乙方承诺该等款项视为乙方对甲方的应付欠款，乙方应在双方根据本协议约定按周期进行收款结算并收取分成前，向甲方支付对应结算周期内发生的应付欠款；</w:t>
      </w:r>
    </w:p>
    <w:p w14:paraId="7F0083AD">
      <w:pPr>
        <w:pStyle w:val="12"/>
        <w:numPr>
          <w:ilvl w:val="0"/>
          <w:numId w:val="14"/>
        </w:numPr>
        <w:spacing w:line="500" w:lineRule="exact"/>
        <w:ind w:firstLine="480"/>
        <w:rPr>
          <w:rFonts w:hint="eastAsia" w:ascii="宋体" w:hAnsi="宋体" w:cs="Cambria Math"/>
          <w:highlight w:val="none"/>
        </w:rPr>
      </w:pPr>
      <w:r>
        <w:rPr>
          <w:rFonts w:hint="eastAsia" w:ascii="宋体" w:hAnsi="宋体" w:cs="Cambria Math"/>
          <w:highlight w:val="none"/>
        </w:rPr>
        <w:t>乙方逾期向甲方支付上述应付欠款的，甲方有权暂停向乙方结算分成，并在根据本协议约定应向乙方支付的分成收入中直接抵扣乙方应向甲方支付而未付的金额，该等情形下视为甲方已向乙方足额支付分成收入，甲方有权要求乙方仍以结算周期内应收分成金额向甲方开具足额发票，如乙方未按时开具发票而造成甲方于当期报税周期内产生利益受损的，乙方应按照未开具发票金额的25%向甲方支付违约金，且甲方有权单方面解除本协议。</w:t>
      </w:r>
    </w:p>
    <w:p w14:paraId="70FE168D">
      <w:pPr>
        <w:pStyle w:val="12"/>
        <w:numPr>
          <w:ilvl w:val="0"/>
          <w:numId w:val="14"/>
        </w:numPr>
        <w:spacing w:line="500" w:lineRule="exact"/>
        <w:ind w:firstLine="480"/>
        <w:rPr>
          <w:rFonts w:hint="eastAsia" w:ascii="宋体" w:hAnsi="宋体" w:cs="Cambria Math"/>
          <w:highlight w:val="none"/>
        </w:rPr>
      </w:pPr>
      <w:r>
        <w:rPr>
          <w:rFonts w:hint="eastAsia" w:ascii="宋体" w:hAnsi="宋体" w:cs="Cambria Math"/>
          <w:highlight w:val="none"/>
        </w:rPr>
        <w:t>加油站项目开展经营后，甲方有权对每一个结算周期内的收款结构进行分析，连续3个结算周期内使用预存款、储值卡进行消费支付的比例超过当期销售金额50%的，甲方有权向乙方收取结算分成保证金，保证金金额应不低于最近一个结算周期内使用预存款、储值卡消费金额的25%。乙方未向甲方支付结算分成保证金的，甲方有权暂停向乙方结算分成；</w:t>
      </w:r>
    </w:p>
    <w:p w14:paraId="1FE473E2">
      <w:pPr>
        <w:pStyle w:val="12"/>
        <w:numPr>
          <w:ilvl w:val="0"/>
          <w:numId w:val="14"/>
        </w:numPr>
        <w:spacing w:line="500" w:lineRule="exact"/>
        <w:ind w:firstLine="480"/>
        <w:rPr>
          <w:rFonts w:hint="eastAsia" w:ascii="宋体" w:hAnsi="宋体" w:cs="Cambria Math"/>
          <w:highlight w:val="none"/>
        </w:rPr>
      </w:pPr>
      <w:r>
        <w:rPr>
          <w:rFonts w:hint="eastAsia" w:ascii="宋体" w:hAnsi="宋体" w:cs="Cambria Math"/>
          <w:highlight w:val="none"/>
        </w:rPr>
        <w:t>甲方有权自行研判经营风险和市场信息，取消加油站项目使用乙方或其授权品牌名下的预存款、储值卡的许可，乙方不得以此为由提出赔偿损失、终止联营合作等主张，并应积极配合，承担加油站项目的一切零售宣传与政策解释工作。</w:t>
      </w:r>
    </w:p>
    <w:p w14:paraId="0B83AEDC">
      <w:pPr>
        <w:pStyle w:val="12"/>
        <w:numPr>
          <w:ilvl w:val="255"/>
          <w:numId w:val="0"/>
        </w:numPr>
        <w:tabs>
          <w:tab w:val="left" w:pos="1442"/>
        </w:tabs>
        <w:adjustRightInd w:val="0"/>
        <w:snapToGrid w:val="0"/>
        <w:spacing w:line="500" w:lineRule="exact"/>
        <w:ind w:firstLine="482" w:firstLineChars="200"/>
        <w:outlineLvl w:val="1"/>
        <w:rPr>
          <w:rFonts w:hint="eastAsia" w:ascii="宋体" w:hAnsi="宋体" w:cs="Cambria Math"/>
          <w:b/>
          <w:highlight w:val="none"/>
        </w:rPr>
      </w:pPr>
      <w:r>
        <w:rPr>
          <w:rFonts w:hint="eastAsia" w:ascii="宋体" w:hAnsi="宋体" w:cs="Cambria Math"/>
          <w:b/>
          <w:highlight w:val="none"/>
        </w:rPr>
        <w:t>（三</w:t>
      </w:r>
      <w:r>
        <w:rPr>
          <w:rFonts w:hint="eastAsia" w:ascii="宋体" w:hAnsi="宋体"/>
          <w:b/>
          <w:highlight w:val="none"/>
        </w:rPr>
        <w:t>）合作</w:t>
      </w:r>
      <w:r>
        <w:rPr>
          <w:rFonts w:hint="eastAsia" w:ascii="宋体" w:hAnsi="宋体" w:cs="Cambria Math"/>
          <w:b/>
          <w:highlight w:val="none"/>
        </w:rPr>
        <w:t>联营收入的结算及分成</w:t>
      </w:r>
    </w:p>
    <w:p w14:paraId="5667FE2D">
      <w:pPr>
        <w:pStyle w:val="12"/>
        <w:spacing w:line="500" w:lineRule="exact"/>
        <w:ind w:firstLine="480"/>
        <w:rPr>
          <w:rFonts w:hint="eastAsia" w:ascii="宋体" w:hAnsi="宋体" w:cs="Cambria Math"/>
          <w:highlight w:val="none"/>
        </w:rPr>
      </w:pPr>
      <w:r>
        <w:rPr>
          <w:rFonts w:hint="eastAsia" w:ascii="宋体" w:hAnsi="宋体" w:cs="Cambria Math"/>
          <w:highlight w:val="none"/>
        </w:rPr>
        <w:t>双方确认，加油站项目应基于实际取得的收入进行分成，具体如下：</w:t>
      </w:r>
    </w:p>
    <w:p w14:paraId="5126F266">
      <w:pPr>
        <w:pStyle w:val="12"/>
        <w:numPr>
          <w:ilvl w:val="0"/>
          <w:numId w:val="15"/>
        </w:numPr>
        <w:spacing w:line="500" w:lineRule="exact"/>
        <w:ind w:firstLineChars="0"/>
        <w:outlineLvl w:val="2"/>
        <w:rPr>
          <w:rFonts w:hint="eastAsia" w:ascii="宋体" w:hAnsi="宋体" w:cs="Cambria Math"/>
          <w:b/>
          <w:highlight w:val="none"/>
        </w:rPr>
      </w:pPr>
      <w:r>
        <w:rPr>
          <w:rFonts w:hint="eastAsia" w:ascii="宋体" w:hAnsi="宋体" w:cs="Cambria Math"/>
          <w:b/>
          <w:highlight w:val="none"/>
        </w:rPr>
        <w:t>成品油经营收入的结算及分成</w:t>
      </w:r>
    </w:p>
    <w:p w14:paraId="13569321">
      <w:pPr>
        <w:pStyle w:val="12"/>
        <w:numPr>
          <w:ilvl w:val="0"/>
          <w:numId w:val="16"/>
        </w:numPr>
        <w:spacing w:line="500" w:lineRule="exact"/>
        <w:ind w:firstLineChars="0"/>
        <w:outlineLvl w:val="3"/>
        <w:rPr>
          <w:rFonts w:hint="eastAsia" w:ascii="宋体" w:hAnsi="宋体" w:cs="Cambria Math"/>
          <w:highlight w:val="none"/>
        </w:rPr>
      </w:pPr>
      <w:r>
        <w:rPr>
          <w:rFonts w:hint="eastAsia" w:ascii="宋体" w:hAnsi="宋体" w:cs="Cambria Math"/>
          <w:highlight w:val="none"/>
        </w:rPr>
        <w:t>结算及核算周期</w:t>
      </w:r>
    </w:p>
    <w:p w14:paraId="7B4C502A">
      <w:pPr>
        <w:pStyle w:val="12"/>
        <w:numPr>
          <w:ilvl w:val="0"/>
          <w:numId w:val="17"/>
        </w:numPr>
        <w:spacing w:line="500" w:lineRule="exact"/>
        <w:ind w:firstLine="480"/>
        <w:rPr>
          <w:rFonts w:hint="eastAsia" w:ascii="宋体" w:hAnsi="宋体" w:cs="Cambria Math"/>
          <w:highlight w:val="none"/>
        </w:rPr>
      </w:pPr>
      <w:r>
        <w:rPr>
          <w:rFonts w:hint="eastAsia" w:ascii="宋体" w:hAnsi="宋体" w:cs="Cambria Math"/>
          <w:highlight w:val="none"/>
        </w:rPr>
        <w:t>加油站项目取得全部必要许可并对外经营之日至当月的最后一日为第一个结算周期。第一个结算周期结束后，自加油站项目取得全部必要许可并对外经营之日的次月1日起，双方以当月的1号至15号、16号至当月最后一日分别作为一个结算周期（即每月两个结算周期）。</w:t>
      </w:r>
    </w:p>
    <w:p w14:paraId="159F0D3F">
      <w:pPr>
        <w:pStyle w:val="12"/>
        <w:numPr>
          <w:ilvl w:val="0"/>
          <w:numId w:val="17"/>
        </w:numPr>
        <w:spacing w:line="500" w:lineRule="exact"/>
        <w:ind w:firstLine="480"/>
        <w:rPr>
          <w:rFonts w:hint="eastAsia" w:ascii="宋体" w:hAnsi="宋体" w:cs="Cambria Math"/>
          <w:highlight w:val="none"/>
        </w:rPr>
      </w:pPr>
      <w:r>
        <w:rPr>
          <w:rFonts w:hint="eastAsia" w:ascii="宋体" w:hAnsi="宋体" w:cs="Cambria Math"/>
          <w:highlight w:val="none"/>
        </w:rPr>
        <w:t>双方应根据本协议约定就每一个结算周期进行结算和预分成。</w:t>
      </w:r>
    </w:p>
    <w:p w14:paraId="7CAEB9CA">
      <w:pPr>
        <w:pStyle w:val="12"/>
        <w:numPr>
          <w:ilvl w:val="0"/>
          <w:numId w:val="17"/>
        </w:numPr>
        <w:spacing w:line="500" w:lineRule="exact"/>
        <w:ind w:firstLine="480"/>
        <w:rPr>
          <w:rFonts w:hint="eastAsia" w:ascii="宋体" w:hAnsi="宋体" w:cs="Cambria Math"/>
          <w:highlight w:val="none"/>
        </w:rPr>
      </w:pPr>
      <w:r>
        <w:rPr>
          <w:rFonts w:hint="eastAsia" w:ascii="宋体" w:hAnsi="宋体" w:cs="Cambria Math"/>
          <w:highlight w:val="none"/>
        </w:rPr>
        <w:t>自本协议签订之日起算，双方应以每一个合同年度为分成核算周期，进行当合同年度的最终分成确认和分配。</w:t>
      </w:r>
    </w:p>
    <w:p w14:paraId="2466C1B7">
      <w:pPr>
        <w:pStyle w:val="12"/>
        <w:numPr>
          <w:ilvl w:val="0"/>
          <w:numId w:val="16"/>
        </w:numPr>
        <w:spacing w:line="500" w:lineRule="exact"/>
        <w:ind w:firstLineChars="0"/>
        <w:outlineLvl w:val="3"/>
        <w:rPr>
          <w:rFonts w:hint="eastAsia" w:ascii="宋体" w:hAnsi="宋体" w:cs="Cambria Math"/>
          <w:highlight w:val="none"/>
        </w:rPr>
      </w:pPr>
      <w:r>
        <w:rPr>
          <w:rFonts w:hint="eastAsia" w:ascii="宋体" w:hAnsi="宋体" w:cs="Cambria Math"/>
          <w:highlight w:val="none"/>
        </w:rPr>
        <w:t>成品油经营收入的确认</w:t>
      </w:r>
    </w:p>
    <w:p w14:paraId="065C75CB">
      <w:pPr>
        <w:pStyle w:val="12"/>
        <w:numPr>
          <w:ilvl w:val="0"/>
          <w:numId w:val="18"/>
        </w:numPr>
        <w:spacing w:line="500" w:lineRule="exact"/>
        <w:ind w:firstLine="480"/>
        <w:rPr>
          <w:rFonts w:hint="eastAsia" w:ascii="宋体" w:hAnsi="宋体" w:cs="Cambria Math"/>
          <w:highlight w:val="none"/>
        </w:rPr>
      </w:pPr>
      <w:r>
        <w:rPr>
          <w:rFonts w:hint="eastAsia" w:ascii="宋体" w:hAnsi="宋体" w:cs="Cambria Math"/>
          <w:highlight w:val="none"/>
        </w:rPr>
        <w:t>每一个结算周期结束后的【5】日内，乙方支付周期内所应预付当季度加油站物业租金后（提供付款证明），甲方授权管理人员与乙方授权代表应共同核对并确认相应结算周期内的成品油销售量、销售总额及销售收款总表，销售量、销售总额及销售收款的三个数据应构成互相印证，乙方应根据甲方的财务规范要求，提供三个总表相对应的进销存明细表、收款明细表、预存款和储值卡的消费和欠款清缴明细表（如有）；</w:t>
      </w:r>
    </w:p>
    <w:p w14:paraId="7335FCF3">
      <w:pPr>
        <w:pStyle w:val="12"/>
        <w:numPr>
          <w:ilvl w:val="0"/>
          <w:numId w:val="18"/>
        </w:numPr>
        <w:spacing w:line="500" w:lineRule="exact"/>
        <w:ind w:firstLine="480"/>
        <w:rPr>
          <w:rFonts w:hint="eastAsia" w:ascii="宋体" w:hAnsi="宋体" w:cs="Cambria Math"/>
          <w:highlight w:val="none"/>
        </w:rPr>
      </w:pPr>
      <w:r>
        <w:rPr>
          <w:rFonts w:hint="eastAsia" w:ascii="宋体" w:hAnsi="宋体" w:cs="Cambria Math"/>
          <w:highlight w:val="none"/>
        </w:rPr>
        <w:t>如出现数据核对差异或双方数据不一致的情况，双方应进一步核查原因，若在结算周期结束后5日内，双方未就数据达成一致意见的，双方同意按照甲方提供的数据核算该结算周期内的成品油经营收入。因银行或第三方支付系统产生时间延迟造成的在途资金，视为应收款，在实际收到款项的结算周期再行结算。</w:t>
      </w:r>
    </w:p>
    <w:p w14:paraId="54E8DBBB">
      <w:pPr>
        <w:pStyle w:val="12"/>
        <w:numPr>
          <w:ilvl w:val="0"/>
          <w:numId w:val="16"/>
        </w:numPr>
        <w:spacing w:line="500" w:lineRule="exact"/>
        <w:ind w:firstLineChars="0"/>
        <w:outlineLvl w:val="3"/>
        <w:rPr>
          <w:rFonts w:hint="eastAsia" w:ascii="宋体" w:hAnsi="宋体" w:cs="Cambria Math"/>
          <w:highlight w:val="none"/>
        </w:rPr>
      </w:pPr>
      <w:r>
        <w:rPr>
          <w:rFonts w:hint="eastAsia" w:ascii="宋体" w:hAnsi="宋体" w:cs="Cambria Math"/>
          <w:highlight w:val="none"/>
        </w:rPr>
        <w:t>成品油经营收入分成</w:t>
      </w:r>
    </w:p>
    <w:p w14:paraId="7F985775">
      <w:pPr>
        <w:pStyle w:val="12"/>
        <w:numPr>
          <w:ilvl w:val="0"/>
          <w:numId w:val="19"/>
        </w:numPr>
        <w:spacing w:line="500" w:lineRule="exact"/>
        <w:ind w:firstLine="480"/>
        <w:rPr>
          <w:rFonts w:hint="eastAsia" w:ascii="宋体" w:hAnsi="宋体" w:cs="Cambria Math"/>
          <w:highlight w:val="none"/>
        </w:rPr>
      </w:pPr>
      <w:r>
        <w:rPr>
          <w:rFonts w:hint="eastAsia" w:ascii="宋体" w:hAnsi="宋体" w:cs="宋体"/>
          <w:bCs/>
          <w:highlight w:val="none"/>
        </w:rPr>
        <w:t>乙方</w:t>
      </w:r>
      <w:r>
        <w:rPr>
          <w:rFonts w:hint="eastAsia" w:ascii="宋体" w:hAnsi="宋体" w:cs="Cambria Math"/>
          <w:highlight w:val="none"/>
        </w:rPr>
        <w:t>存在违约行为（包括但不限于欠缴租金、未及时支付应付欠款等）的，甲方有权不向乙方分成直至乙方完成整改；</w:t>
      </w:r>
    </w:p>
    <w:p w14:paraId="38FE9FB7">
      <w:pPr>
        <w:pStyle w:val="12"/>
        <w:numPr>
          <w:ilvl w:val="0"/>
          <w:numId w:val="19"/>
        </w:numPr>
        <w:spacing w:line="500" w:lineRule="exact"/>
        <w:ind w:firstLine="482"/>
        <w:rPr>
          <w:rFonts w:hint="eastAsia" w:ascii="宋体" w:hAnsi="宋体" w:cs="Cambria Math"/>
          <w:b/>
          <w:bCs/>
          <w:highlight w:val="none"/>
        </w:rPr>
      </w:pPr>
      <w:r>
        <w:rPr>
          <w:rFonts w:hint="eastAsia" w:ascii="宋体" w:hAnsi="宋体" w:cs="宋体"/>
          <w:b/>
          <w:bCs/>
          <w:highlight w:val="none"/>
        </w:rPr>
        <w:t>分成机制</w:t>
      </w:r>
    </w:p>
    <w:p w14:paraId="3ED5A57C">
      <w:pPr>
        <w:pStyle w:val="12"/>
        <w:spacing w:line="500" w:lineRule="exact"/>
        <w:ind w:firstLine="482"/>
        <w:rPr>
          <w:rFonts w:hint="eastAsia" w:ascii="宋体" w:hAnsi="宋体" w:cs="Cambria Math"/>
          <w:b/>
          <w:bCs/>
          <w:highlight w:val="none"/>
        </w:rPr>
      </w:pPr>
      <w:r>
        <w:rPr>
          <w:rFonts w:hint="eastAsia" w:ascii="宋体" w:hAnsi="宋体" w:cs="Cambria Math"/>
          <w:b/>
          <w:bCs/>
          <w:highlight w:val="none"/>
        </w:rPr>
        <w:t>联营双方应在每一个结算周期根据本条约定进行预分成，并于当合同年度结算后【30】日内核算确认当合同年度的总分成金额以及当合同年度的预分成总额。</w:t>
      </w:r>
    </w:p>
    <w:p w14:paraId="4B3710A6">
      <w:pPr>
        <w:pStyle w:val="12"/>
        <w:spacing w:line="500" w:lineRule="exact"/>
        <w:ind w:firstLine="482"/>
        <w:rPr>
          <w:rFonts w:hint="eastAsia" w:ascii="宋体" w:hAnsi="宋体" w:cs="Cambria Math"/>
          <w:b/>
          <w:bCs/>
          <w:highlight w:val="none"/>
        </w:rPr>
      </w:pPr>
      <w:r>
        <w:rPr>
          <w:rFonts w:hint="eastAsia" w:ascii="宋体" w:hAnsi="宋体" w:cs="Cambria Math"/>
          <w:b/>
          <w:bCs/>
          <w:highlight w:val="none"/>
        </w:rPr>
        <w:t>若同一合同年度内，甲方应向乙方支付的总分成金额超过预分成总额的，甲方应在下一合同年度的预分成中向乙方补足差额，乙方应根据甲方的安排开具合规发票；若同一合同年度内，甲方应向乙方支付的总分成金额少于已支付预分成总额的，差额部分甲方有权于下一合同年度的预分成中相应扣减，乙方应根据甲方的安排开具合规发票。</w:t>
      </w:r>
    </w:p>
    <w:p w14:paraId="301CADA6">
      <w:pPr>
        <w:pStyle w:val="12"/>
        <w:spacing w:line="500" w:lineRule="exact"/>
        <w:ind w:firstLine="482"/>
        <w:rPr>
          <w:rFonts w:hint="eastAsia" w:ascii="宋体" w:hAnsi="宋体" w:cs="Cambria Math"/>
          <w:b/>
          <w:bCs/>
          <w:highlight w:val="none"/>
        </w:rPr>
      </w:pPr>
      <w:r>
        <w:rPr>
          <w:rFonts w:hint="eastAsia" w:ascii="宋体" w:hAnsi="宋体" w:cs="Cambria Math"/>
          <w:b/>
          <w:bCs/>
          <w:highlight w:val="none"/>
        </w:rPr>
        <w:t>在本合同最后一个合同年度，双方应在该合同年度的倒数第五个结算周期后核算确认截至该结算周期的当合同年度总分成金额及预分成金额，双方根据前款约定在该合同年度的最后四个结算周期补足或扣减差额，并相应处理发票事宜。最后四个结算周期不再实施预分成安排，甲方根据以下“④总分成安排”约定的“孰低”计算方式确认当结算周期甲方实际分成金额后，剩余部分为当结算周期向乙方实际分成的金额。</w:t>
      </w:r>
    </w:p>
    <w:p w14:paraId="2F80D6E5">
      <w:pPr>
        <w:pStyle w:val="12"/>
        <w:numPr>
          <w:ilvl w:val="0"/>
          <w:numId w:val="19"/>
        </w:numPr>
        <w:spacing w:line="500" w:lineRule="exact"/>
        <w:ind w:firstLine="482"/>
        <w:rPr>
          <w:rFonts w:hint="eastAsia" w:ascii="宋体" w:hAnsi="宋体" w:cs="Cambria Math"/>
          <w:b/>
          <w:bCs/>
          <w:highlight w:val="none"/>
        </w:rPr>
      </w:pPr>
      <w:r>
        <w:rPr>
          <w:rFonts w:hint="eastAsia" w:ascii="宋体" w:hAnsi="宋体" w:cs="Cambria Math"/>
          <w:b/>
          <w:bCs/>
          <w:highlight w:val="none"/>
        </w:rPr>
        <w:t>预分成安排</w:t>
      </w:r>
    </w:p>
    <w:p w14:paraId="60AE29E7">
      <w:pPr>
        <w:pStyle w:val="12"/>
        <w:spacing w:line="500" w:lineRule="exact"/>
        <w:ind w:firstLine="482"/>
        <w:rPr>
          <w:rFonts w:hint="eastAsia" w:ascii="宋体" w:hAnsi="宋体" w:cs="Cambria Math"/>
          <w:b/>
          <w:bCs/>
          <w:highlight w:val="none"/>
        </w:rPr>
      </w:pPr>
      <w:r>
        <w:rPr>
          <w:rFonts w:hint="eastAsia" w:ascii="宋体" w:hAnsi="宋体" w:cs="Cambria Math"/>
          <w:b/>
          <w:bCs/>
          <w:highlight w:val="none"/>
        </w:rPr>
        <w:t>A．双方同意每一结算周期按当期经营收入为基数（即：预分成基数）进行预分成，由甲方优先预提分成</w:t>
      </w:r>
      <w:r>
        <w:rPr>
          <w:rFonts w:ascii="宋体" w:hAnsi="宋体" w:cs="Cambria Math"/>
          <w:b/>
          <w:bCs/>
          <w:highlight w:val="none"/>
        </w:rPr>
        <w:t>3万元后，预分成基数余额为当期</w:t>
      </w:r>
      <w:r>
        <w:rPr>
          <w:rFonts w:hint="eastAsia" w:ascii="宋体" w:hAnsi="宋体" w:cs="Cambria Math"/>
          <w:b/>
          <w:bCs/>
          <w:highlight w:val="none"/>
        </w:rPr>
        <w:t>甲方</w:t>
      </w:r>
      <w:r>
        <w:rPr>
          <w:rFonts w:ascii="宋体" w:hAnsi="宋体" w:cs="Cambria Math"/>
          <w:b/>
          <w:bCs/>
          <w:highlight w:val="none"/>
        </w:rPr>
        <w:t>应向乙方预分成的金额，甲方在双方确认当期预分成金额且收到乙方开具的</w:t>
      </w:r>
      <w:r>
        <w:rPr>
          <w:rFonts w:hint="eastAsia" w:ascii="宋体" w:hAnsi="宋体" w:cs="Cambria Math"/>
          <w:b/>
          <w:bCs/>
          <w:highlight w:val="none"/>
        </w:rPr>
        <w:t>合规</w:t>
      </w:r>
      <w:r>
        <w:rPr>
          <w:rFonts w:ascii="宋体" w:hAnsi="宋体" w:cs="Cambria Math"/>
          <w:b/>
          <w:bCs/>
          <w:highlight w:val="none"/>
        </w:rPr>
        <w:t>成品油销售发票后3个工作日内向乙方支付当期预分成；</w:t>
      </w:r>
    </w:p>
    <w:p w14:paraId="12AADB5B">
      <w:pPr>
        <w:pStyle w:val="12"/>
        <w:spacing w:line="500" w:lineRule="exact"/>
        <w:ind w:firstLine="480"/>
        <w:rPr>
          <w:rFonts w:hint="eastAsia" w:ascii="宋体" w:hAnsi="宋体" w:cs="Cambria Math"/>
          <w:highlight w:val="none"/>
        </w:rPr>
      </w:pPr>
      <w:r>
        <w:rPr>
          <w:rFonts w:hint="eastAsia" w:ascii="宋体" w:hAnsi="宋体" w:cs="宋体"/>
          <w:highlight w:val="none"/>
        </w:rPr>
        <w:t>B．</w:t>
      </w:r>
      <w:r>
        <w:rPr>
          <w:rFonts w:hint="eastAsia" w:ascii="宋体" w:hAnsi="宋体" w:cs="Cambria Math"/>
          <w:highlight w:val="none"/>
        </w:rPr>
        <w:t>结算周期内双方确认的预分成基数不足以支付甲方优先预提分成金额的，当期结算收入应全部向甲方预分成，差额部分在下一结算周期累计至应优先向甲方预分成的金额，直至甲方实现收取过往结算周期分成金额的完整预分成后，剩余的预分成基数再根据本协议约定向乙方分成；</w:t>
      </w:r>
    </w:p>
    <w:p w14:paraId="3E831883">
      <w:pPr>
        <w:pStyle w:val="12"/>
        <w:spacing w:line="500" w:lineRule="exact"/>
        <w:ind w:firstLine="480"/>
        <w:rPr>
          <w:rFonts w:hint="eastAsia" w:ascii="宋体" w:hAnsi="宋体" w:cs="Cambria Math"/>
          <w:highlight w:val="none"/>
        </w:rPr>
      </w:pPr>
      <w:r>
        <w:rPr>
          <w:rFonts w:hint="eastAsia" w:ascii="宋体" w:hAnsi="宋体" w:cs="宋体"/>
          <w:highlight w:val="none"/>
        </w:rPr>
        <w:t>C．</w:t>
      </w:r>
      <w:r>
        <w:rPr>
          <w:rFonts w:hint="eastAsia" w:ascii="宋体" w:hAnsi="宋体" w:cs="Cambria Math"/>
          <w:highlight w:val="none"/>
        </w:rPr>
        <w:t>若出现连续三个结算周期的当期预分成基数不足以支付甲方应预提所得预分成金额的，属于重大经营风险，甲方有权无条件提前解除联营合作协议，乙方应根据本协议约定完成撤场并自行承担全部费用（包括但不限于油罐及管道清理、非油业务货物与设备清运、加油机设备封存等）及本协议对应违约责任，不得据此向甲方主张任何赔偿。</w:t>
      </w:r>
    </w:p>
    <w:p w14:paraId="3CE2B245">
      <w:pPr>
        <w:pStyle w:val="12"/>
        <w:numPr>
          <w:ilvl w:val="0"/>
          <w:numId w:val="19"/>
        </w:numPr>
        <w:spacing w:line="500" w:lineRule="exact"/>
        <w:ind w:firstLine="482"/>
        <w:rPr>
          <w:rFonts w:hint="eastAsia" w:ascii="宋体" w:hAnsi="宋体" w:cs="Cambria Math"/>
          <w:b/>
          <w:bCs/>
          <w:highlight w:val="none"/>
        </w:rPr>
      </w:pPr>
      <w:r>
        <w:rPr>
          <w:rFonts w:hint="eastAsia" w:ascii="宋体" w:hAnsi="宋体" w:cs="Cambria Math"/>
          <w:b/>
          <w:bCs/>
          <w:highlight w:val="none"/>
        </w:rPr>
        <w:t>总分成安排</w:t>
      </w:r>
    </w:p>
    <w:p w14:paraId="5F68944C">
      <w:pPr>
        <w:pStyle w:val="12"/>
        <w:spacing w:line="500" w:lineRule="exact"/>
        <w:ind w:firstLine="482"/>
        <w:rPr>
          <w:rFonts w:hint="eastAsia" w:ascii="宋体" w:hAnsi="宋体" w:cs="Cambria Math"/>
          <w:b/>
          <w:bCs/>
          <w:highlight w:val="none"/>
        </w:rPr>
      </w:pPr>
      <w:r>
        <w:rPr>
          <w:rFonts w:hint="eastAsia" w:ascii="宋体" w:hAnsi="宋体" w:cs="Cambria Math"/>
          <w:b/>
          <w:bCs/>
          <w:highlight w:val="none"/>
        </w:rPr>
        <w:t>双方</w:t>
      </w:r>
      <w:r>
        <w:rPr>
          <w:rFonts w:hint="eastAsia" w:ascii="宋体" w:hAnsi="宋体" w:cs="宋体"/>
          <w:b/>
          <w:bCs/>
          <w:highlight w:val="none"/>
        </w:rPr>
        <w:t>确认，</w:t>
      </w:r>
      <w:r>
        <w:rPr>
          <w:rFonts w:hint="eastAsia" w:ascii="宋体" w:hAnsi="宋体" w:cs="Cambria Math"/>
          <w:b/>
          <w:bCs/>
          <w:highlight w:val="none"/>
        </w:rPr>
        <w:t>自本协议签订之日起，应以每一个合同年度内的成品油经营收入作为分成基数（即：总分成基数），其中应向甲方分成的金额按以下方式取孰低确认，剩余部分为当合同年度向乙方总分成的金额：</w:t>
      </w:r>
    </w:p>
    <w:p w14:paraId="4EF0D81B">
      <w:pPr>
        <w:pStyle w:val="12"/>
        <w:spacing w:line="500" w:lineRule="exact"/>
        <w:ind w:firstLine="482"/>
        <w:rPr>
          <w:rFonts w:hint="eastAsia" w:ascii="宋体" w:hAnsi="宋体" w:cs="Cambria Math"/>
          <w:b/>
          <w:bCs/>
          <w:highlight w:val="none"/>
        </w:rPr>
      </w:pPr>
      <w:r>
        <w:rPr>
          <w:rFonts w:ascii="宋体" w:hAnsi="宋体" w:cs="Cambria Math"/>
          <w:b/>
          <w:bCs/>
          <w:highlight w:val="none"/>
        </w:rPr>
        <w:t>A.</w:t>
      </w:r>
      <w:r>
        <w:rPr>
          <w:rFonts w:hint="eastAsia" w:ascii="宋体" w:hAnsi="宋体" w:cs="Cambria Math"/>
          <w:b/>
          <w:bCs/>
          <w:highlight w:val="none"/>
        </w:rPr>
        <w:t>自本协议签订之日起的一个合同年度内，总分成基数的1%；</w:t>
      </w:r>
    </w:p>
    <w:p w14:paraId="7DCCE814">
      <w:pPr>
        <w:pStyle w:val="12"/>
        <w:spacing w:line="500" w:lineRule="exact"/>
        <w:ind w:firstLine="482"/>
        <w:rPr>
          <w:rFonts w:hint="eastAsia" w:ascii="宋体" w:hAnsi="宋体" w:cs="Cambria Math"/>
          <w:b/>
          <w:bCs/>
          <w:highlight w:val="none"/>
        </w:rPr>
      </w:pPr>
      <w:r>
        <w:rPr>
          <w:rFonts w:ascii="宋体" w:hAnsi="宋体" w:cs="Cambria Math"/>
          <w:b/>
          <w:bCs/>
          <w:highlight w:val="none"/>
        </w:rPr>
        <w:t>B.</w:t>
      </w:r>
      <w:r>
        <w:rPr>
          <w:rFonts w:hint="eastAsia" w:ascii="宋体" w:hAnsi="宋体" w:cs="Cambria Math"/>
          <w:b/>
          <w:bCs/>
          <w:highlight w:val="none"/>
        </w:rPr>
        <w:t>自本协议签订之日起的一个合同年度内，经双方确认该合同年度内总分成基数与乙方向外部供应商采购并供应加油站项目经营使用的成品油采购总价款之差的50%（采购价款最高单价应不高于政府主管部门所公布当期最高限价）。</w:t>
      </w:r>
    </w:p>
    <w:p w14:paraId="48DA6122">
      <w:pPr>
        <w:pStyle w:val="12"/>
        <w:numPr>
          <w:ilvl w:val="0"/>
          <w:numId w:val="15"/>
        </w:numPr>
        <w:spacing w:line="500" w:lineRule="exact"/>
        <w:ind w:firstLineChars="0"/>
        <w:outlineLvl w:val="2"/>
        <w:rPr>
          <w:rFonts w:hint="eastAsia" w:ascii="宋体" w:hAnsi="宋体" w:cs="Cambria Math"/>
          <w:highlight w:val="none"/>
        </w:rPr>
      </w:pPr>
      <w:r>
        <w:rPr>
          <w:rFonts w:hint="eastAsia" w:ascii="宋体" w:hAnsi="宋体" w:cs="Cambria Math"/>
          <w:b/>
          <w:highlight w:val="none"/>
        </w:rPr>
        <w:t>非成品油经营收入的结算及分成</w:t>
      </w:r>
    </w:p>
    <w:p w14:paraId="46BEA540">
      <w:pPr>
        <w:pStyle w:val="12"/>
        <w:numPr>
          <w:ilvl w:val="0"/>
          <w:numId w:val="20"/>
        </w:numPr>
        <w:spacing w:line="500" w:lineRule="exact"/>
        <w:ind w:firstLineChars="0"/>
        <w:outlineLvl w:val="3"/>
        <w:rPr>
          <w:rFonts w:hint="eastAsia" w:ascii="宋体" w:hAnsi="宋体" w:cs="Cambria Math"/>
          <w:highlight w:val="none"/>
        </w:rPr>
      </w:pPr>
      <w:r>
        <w:rPr>
          <w:rFonts w:hint="eastAsia" w:ascii="宋体" w:hAnsi="宋体" w:cs="Cambria Math"/>
          <w:highlight w:val="none"/>
        </w:rPr>
        <w:t>结算周期</w:t>
      </w:r>
    </w:p>
    <w:p w14:paraId="2722AB6A">
      <w:pPr>
        <w:pStyle w:val="12"/>
        <w:spacing w:line="500" w:lineRule="exact"/>
        <w:ind w:firstLine="480"/>
        <w:rPr>
          <w:rFonts w:hint="eastAsia" w:ascii="宋体" w:hAnsi="宋体" w:cs="Cambria Math"/>
          <w:highlight w:val="none"/>
        </w:rPr>
      </w:pPr>
      <w:r>
        <w:rPr>
          <w:rFonts w:hint="eastAsia" w:ascii="宋体" w:hAnsi="宋体" w:cs="Cambria Math"/>
          <w:highlight w:val="none"/>
        </w:rPr>
        <w:t>自加油站项目相应非成品油经营项目取得必要许可并对外经营之日起，双方以每半年为一个结算周期进行结算分成。</w:t>
      </w:r>
    </w:p>
    <w:p w14:paraId="55C69A10">
      <w:pPr>
        <w:pStyle w:val="12"/>
        <w:numPr>
          <w:ilvl w:val="0"/>
          <w:numId w:val="20"/>
        </w:numPr>
        <w:spacing w:line="500" w:lineRule="exact"/>
        <w:ind w:firstLineChars="0"/>
        <w:outlineLvl w:val="3"/>
        <w:rPr>
          <w:rFonts w:hint="eastAsia" w:ascii="宋体" w:hAnsi="宋体" w:cs="Cambria Math"/>
          <w:highlight w:val="none"/>
        </w:rPr>
      </w:pPr>
      <w:r>
        <w:rPr>
          <w:rFonts w:hint="eastAsia" w:ascii="宋体" w:hAnsi="宋体" w:cs="Cambria Math"/>
          <w:highlight w:val="none"/>
        </w:rPr>
        <w:t>非成品油经营收入的确认</w:t>
      </w:r>
    </w:p>
    <w:p w14:paraId="4DFF7312">
      <w:pPr>
        <w:pStyle w:val="12"/>
        <w:spacing w:line="500" w:lineRule="exact"/>
        <w:ind w:firstLine="480"/>
        <w:rPr>
          <w:rFonts w:hint="eastAsia" w:ascii="宋体" w:hAnsi="宋体" w:cs="Cambria Math"/>
          <w:highlight w:val="none"/>
        </w:rPr>
      </w:pPr>
      <w:r>
        <w:rPr>
          <w:rFonts w:hint="eastAsia" w:ascii="宋体" w:hAnsi="宋体" w:cs="Cambria Math"/>
          <w:highlight w:val="none"/>
        </w:rPr>
        <w:t>每一个结算周期结束后5日内，甲方授权管理人员与乙方授权代表共同核对并确认结算周期内的非成品油经营销售量、销售总额及销售收款总表；出现数据核对差异或双方数据不一致的情况，双方应进一步核查原因至差异消除。若在结算周期结束后5日内，双方未就数据达成一致意见的，双方同意按照甲方提供的数据核算该结算周期内的非成品油经营收入。</w:t>
      </w:r>
    </w:p>
    <w:p w14:paraId="44422F1B">
      <w:pPr>
        <w:pStyle w:val="12"/>
        <w:numPr>
          <w:ilvl w:val="0"/>
          <w:numId w:val="20"/>
        </w:numPr>
        <w:spacing w:line="500" w:lineRule="exact"/>
        <w:ind w:firstLineChars="0"/>
        <w:outlineLvl w:val="3"/>
        <w:rPr>
          <w:rFonts w:hint="eastAsia" w:ascii="宋体" w:hAnsi="宋体" w:cs="Cambria Math"/>
          <w:highlight w:val="none"/>
        </w:rPr>
      </w:pPr>
      <w:r>
        <w:rPr>
          <w:rFonts w:hint="eastAsia" w:ascii="宋体" w:hAnsi="宋体" w:cs="Cambria Math"/>
          <w:highlight w:val="none"/>
        </w:rPr>
        <w:t>非成品油经营收入的分成</w:t>
      </w:r>
    </w:p>
    <w:p w14:paraId="2FFF734F">
      <w:pPr>
        <w:pStyle w:val="12"/>
        <w:spacing w:line="500" w:lineRule="exact"/>
        <w:ind w:firstLine="480"/>
        <w:rPr>
          <w:rFonts w:hint="eastAsia" w:ascii="宋体" w:hAnsi="宋体" w:cs="Cambria Math"/>
          <w:highlight w:val="none"/>
        </w:rPr>
      </w:pPr>
      <w:r>
        <w:rPr>
          <w:rFonts w:hint="eastAsia" w:ascii="宋体" w:hAnsi="宋体" w:cs="Cambria Math"/>
          <w:highlight w:val="none"/>
        </w:rPr>
        <w:t>经双方确认的结算周期内的非成品油经营实际收入为该结算周期内双方的分成基数；乙方应在双方确认当期分成基数且收到甲方开具的管理费发票后3个工作日内向甲方支付分成基数的3</w:t>
      </w:r>
      <w:r>
        <w:rPr>
          <w:rFonts w:ascii="宋体" w:hAnsi="宋体" w:cs="Cambria Math"/>
          <w:highlight w:val="none"/>
        </w:rPr>
        <w:t>%</w:t>
      </w:r>
      <w:r>
        <w:rPr>
          <w:rFonts w:hint="eastAsia" w:ascii="宋体" w:hAnsi="宋体" w:cs="Cambria Math"/>
          <w:highlight w:val="none"/>
        </w:rPr>
        <w:t>作为甲方提供管理服务的管理费。乙方逾期向甲方支付管理费的，每逾期一日应当按应付未付费用的千分之一向甲方支付逾期利息，同时甲方有权暂停向乙方结算成品油经营收入的分成。</w:t>
      </w:r>
    </w:p>
    <w:p w14:paraId="7A62A899">
      <w:pPr>
        <w:pStyle w:val="12"/>
        <w:numPr>
          <w:ilvl w:val="255"/>
          <w:numId w:val="0"/>
        </w:numPr>
        <w:tabs>
          <w:tab w:val="left" w:pos="1442"/>
        </w:tabs>
        <w:adjustRightInd w:val="0"/>
        <w:snapToGrid w:val="0"/>
        <w:spacing w:line="500" w:lineRule="exact"/>
        <w:ind w:firstLine="482" w:firstLineChars="200"/>
        <w:outlineLvl w:val="1"/>
        <w:rPr>
          <w:rFonts w:hint="eastAsia" w:ascii="宋体" w:hAnsi="宋体" w:cs="Cambria Math"/>
          <w:b/>
          <w:highlight w:val="none"/>
        </w:rPr>
      </w:pPr>
      <w:r>
        <w:rPr>
          <w:rFonts w:hint="eastAsia" w:ascii="宋体" w:hAnsi="宋体" w:cs="Cambria Math"/>
          <w:b/>
          <w:highlight w:val="none"/>
        </w:rPr>
        <w:t>（四）合作联营的终止</w:t>
      </w:r>
    </w:p>
    <w:p w14:paraId="021AA05B">
      <w:pPr>
        <w:pStyle w:val="12"/>
        <w:spacing w:line="500" w:lineRule="exact"/>
        <w:ind w:firstLine="480"/>
        <w:rPr>
          <w:rFonts w:hint="eastAsia" w:ascii="宋体" w:hAnsi="宋体" w:cs="Cambria Math"/>
          <w:highlight w:val="none"/>
        </w:rPr>
      </w:pPr>
      <w:r>
        <w:rPr>
          <w:rFonts w:hint="eastAsia" w:ascii="宋体" w:hAnsi="宋体" w:cs="Cambria Math"/>
          <w:highlight w:val="none"/>
        </w:rPr>
        <w:t>本协议约定的合作联营期限到期且双方未续期，本协议或《租赁合同》提前解除或终止的，双方的合作联营即终止并应相应履行以下终止后的义务：</w:t>
      </w:r>
    </w:p>
    <w:p w14:paraId="538B39E6">
      <w:pPr>
        <w:pStyle w:val="12"/>
        <w:numPr>
          <w:ilvl w:val="0"/>
          <w:numId w:val="21"/>
        </w:numPr>
        <w:spacing w:line="500" w:lineRule="exact"/>
        <w:ind w:left="0" w:firstLine="480"/>
        <w:rPr>
          <w:rFonts w:hint="eastAsia" w:ascii="宋体" w:hAnsi="宋体" w:cs="Cambria Math"/>
          <w:highlight w:val="none"/>
        </w:rPr>
      </w:pPr>
      <w:r>
        <w:rPr>
          <w:rFonts w:hint="eastAsia" w:ascii="宋体" w:hAnsi="宋体" w:cs="Cambria Math"/>
          <w:highlight w:val="none"/>
        </w:rPr>
        <w:t>《租赁合同》提前解除或终止的，本协议应同时终止。本协议提前解除或终止而《租赁合同》尚未解除或终止的，双方应根据《租赁合同》的约定与产权方</w:t>
      </w:r>
      <w:r>
        <w:rPr>
          <w:rFonts w:hint="eastAsia" w:ascii="宋体" w:hAnsi="宋体" w:cs="Cambria Math"/>
          <w:highlight w:val="none"/>
        </w:rPr>
        <w:t>、管理方</w:t>
      </w:r>
      <w:r>
        <w:rPr>
          <w:rFonts w:hint="eastAsia" w:ascii="宋体" w:hAnsi="宋体" w:cs="Cambria Math"/>
          <w:highlight w:val="none"/>
        </w:rPr>
        <w:t>确认《租赁合同》的终止。</w:t>
      </w:r>
    </w:p>
    <w:p w14:paraId="336AF825">
      <w:pPr>
        <w:pStyle w:val="12"/>
        <w:numPr>
          <w:ilvl w:val="0"/>
          <w:numId w:val="21"/>
        </w:numPr>
        <w:spacing w:line="500" w:lineRule="exact"/>
        <w:ind w:left="0" w:firstLine="480"/>
        <w:rPr>
          <w:rFonts w:hint="eastAsia" w:ascii="宋体" w:hAnsi="宋体" w:cs="Cambria Math"/>
          <w:highlight w:val="none"/>
        </w:rPr>
      </w:pPr>
      <w:r>
        <w:rPr>
          <w:rFonts w:hint="eastAsia" w:ascii="宋体" w:hAnsi="宋体" w:cs="Cambria Math"/>
          <w:highlight w:val="none"/>
        </w:rPr>
        <w:t>乙方应根据《租赁合同》的约定向产权方</w:t>
      </w:r>
      <w:r>
        <w:rPr>
          <w:rFonts w:hint="eastAsia" w:ascii="宋体" w:hAnsi="宋体" w:cs="Cambria Math"/>
          <w:highlight w:val="none"/>
        </w:rPr>
        <w:t>/管理方</w:t>
      </w:r>
      <w:r>
        <w:rPr>
          <w:rFonts w:hint="eastAsia" w:ascii="宋体" w:hAnsi="宋体" w:cs="Cambria Math"/>
          <w:highlight w:val="none"/>
        </w:rPr>
        <w:t>移交加油站物业，并应在终止之日起3</w:t>
      </w:r>
      <w:r>
        <w:rPr>
          <w:rFonts w:ascii="宋体" w:hAnsi="宋体" w:cs="Cambria Math"/>
          <w:highlight w:val="none"/>
        </w:rPr>
        <w:t>0</w:t>
      </w:r>
      <w:r>
        <w:rPr>
          <w:rFonts w:hint="eastAsia" w:ascii="宋体" w:hAnsi="宋体" w:cs="Cambria Math"/>
          <w:highlight w:val="none"/>
        </w:rPr>
        <w:t>日内清空站场的物品、清退相关人员并自行承担全部费用；如乙方未及时清退且在甲方书面催告7天后仍未完成的，视为乙方放弃站场物品所有权，甲方有权向公证处申请办理公证，由公证处派员对加油站物业内的乙方物品办理现状保全公证，同时甲方派人清点物品并做记录。公证完毕，甲方有权将承租物内的物品搬离其他地方存放或自行处置，由此产生的一切损失由乙方承担。</w:t>
      </w:r>
    </w:p>
    <w:p w14:paraId="22A1CAD8">
      <w:pPr>
        <w:pStyle w:val="12"/>
        <w:numPr>
          <w:ilvl w:val="0"/>
          <w:numId w:val="21"/>
        </w:numPr>
        <w:spacing w:line="500" w:lineRule="exact"/>
        <w:ind w:left="0" w:firstLine="480"/>
        <w:rPr>
          <w:rFonts w:hint="eastAsia" w:ascii="宋体" w:hAnsi="宋体" w:cs="Cambria Math"/>
          <w:highlight w:val="none"/>
        </w:rPr>
      </w:pPr>
      <w:r>
        <w:rPr>
          <w:rFonts w:hint="eastAsia" w:ascii="宋体" w:hAnsi="宋体" w:cs="Cambria Math"/>
          <w:highlight w:val="none"/>
        </w:rPr>
        <w:t>双方应对加油站项目截至终止之日尚未完成结算分成的收入根据本协议约定进行结算及分成，乙方存在违约行为应向甲方支付违约金或者赔偿损失的，甲方有权在应向乙方分成的款项中优先扣除后再行分成。</w:t>
      </w:r>
    </w:p>
    <w:p w14:paraId="338EE714">
      <w:pPr>
        <w:pStyle w:val="12"/>
        <w:numPr>
          <w:ilvl w:val="255"/>
          <w:numId w:val="0"/>
        </w:numPr>
        <w:tabs>
          <w:tab w:val="left" w:pos="1442"/>
        </w:tabs>
        <w:adjustRightInd w:val="0"/>
        <w:snapToGrid w:val="0"/>
        <w:spacing w:line="500" w:lineRule="exact"/>
        <w:ind w:firstLine="482" w:firstLineChars="200"/>
        <w:outlineLvl w:val="1"/>
        <w:rPr>
          <w:rFonts w:hint="eastAsia" w:ascii="宋体" w:hAnsi="宋体" w:cs="Cambria Math"/>
          <w:b/>
          <w:highlight w:val="none"/>
        </w:rPr>
      </w:pPr>
      <w:r>
        <w:rPr>
          <w:rFonts w:hint="eastAsia" w:ascii="宋体" w:hAnsi="宋体" w:cs="Cambria Math"/>
          <w:b/>
          <w:highlight w:val="none"/>
        </w:rPr>
        <w:t>（五）双方的其他权利义务</w:t>
      </w:r>
    </w:p>
    <w:p w14:paraId="78B86BBE">
      <w:pPr>
        <w:pStyle w:val="12"/>
        <w:numPr>
          <w:ilvl w:val="255"/>
          <w:numId w:val="0"/>
        </w:numPr>
        <w:spacing w:line="500" w:lineRule="exact"/>
        <w:ind w:firstLine="480" w:firstLineChars="200"/>
        <w:rPr>
          <w:rFonts w:hint="eastAsia" w:ascii="宋体" w:hAnsi="宋体" w:cs="Cambria Math"/>
          <w:highlight w:val="none"/>
        </w:rPr>
      </w:pPr>
      <w:r>
        <w:rPr>
          <w:rFonts w:hint="eastAsia" w:ascii="宋体" w:hAnsi="宋体" w:cs="Cambria Math"/>
          <w:highlight w:val="none"/>
        </w:rPr>
        <w:t>1.双方确认，加油站项目最迟应在乙方接收加油站物业之日起【</w:t>
      </w:r>
      <w:r>
        <w:rPr>
          <w:rFonts w:hint="eastAsia" w:ascii="宋体" w:hAnsi="宋体" w:cs="Cambria Math"/>
          <w:highlight w:val="none"/>
        </w:rPr>
        <w:t>60</w:t>
      </w:r>
      <w:r>
        <w:rPr>
          <w:rFonts w:hint="eastAsia" w:ascii="宋体" w:hAnsi="宋体" w:cs="Cambria Math"/>
          <w:highlight w:val="none"/>
        </w:rPr>
        <w:t>】日内</w:t>
      </w:r>
      <w:r>
        <w:rPr>
          <w:rFonts w:hint="eastAsia" w:ascii="宋体" w:hAnsi="宋体"/>
          <w:highlight w:val="none"/>
        </w:rPr>
        <w:t>（经甲方书面同意延期的除外）</w:t>
      </w:r>
      <w:r>
        <w:rPr>
          <w:rFonts w:hint="eastAsia" w:ascii="宋体" w:hAnsi="宋体" w:cs="Cambria Math"/>
          <w:highlight w:val="none"/>
        </w:rPr>
        <w:t>开展正式对外经营</w:t>
      </w:r>
      <w:r>
        <w:rPr>
          <w:rFonts w:hint="eastAsia" w:ascii="宋体" w:hAnsi="宋体"/>
          <w:highlight w:val="none"/>
        </w:rPr>
        <w:t>。</w:t>
      </w:r>
    </w:p>
    <w:p w14:paraId="1E94DB0F">
      <w:pPr>
        <w:pStyle w:val="12"/>
        <w:numPr>
          <w:ilvl w:val="255"/>
          <w:numId w:val="0"/>
        </w:numPr>
        <w:spacing w:line="500" w:lineRule="exact"/>
        <w:ind w:firstLine="480" w:firstLineChars="200"/>
        <w:rPr>
          <w:rFonts w:hint="eastAsia" w:ascii="宋体" w:hAnsi="宋体" w:cs="Cambria Math"/>
          <w:highlight w:val="none"/>
        </w:rPr>
      </w:pPr>
      <w:r>
        <w:rPr>
          <w:rFonts w:hint="eastAsia" w:ascii="宋体" w:hAnsi="宋体" w:cs="Cambria Math"/>
          <w:highlight w:val="none"/>
        </w:rPr>
        <w:t>2.甲方有权对乙方开展本协议项下的合作联营活动之行为进行监督管理，乙方应积极接受并配合甲方及甲方授权管理人员的监督管理，并根据甲方要求及时完成相关整改</w:t>
      </w:r>
      <w:r>
        <w:rPr>
          <w:rFonts w:hint="eastAsia" w:ascii="宋体" w:hAnsi="宋体"/>
          <w:highlight w:val="none"/>
        </w:rPr>
        <w:t>。</w:t>
      </w:r>
    </w:p>
    <w:p w14:paraId="2F773B21">
      <w:pPr>
        <w:pStyle w:val="12"/>
        <w:numPr>
          <w:ilvl w:val="0"/>
          <w:numId w:val="5"/>
        </w:numPr>
        <w:spacing w:line="500" w:lineRule="exact"/>
        <w:ind w:left="0" w:firstLine="480"/>
        <w:rPr>
          <w:rFonts w:hint="eastAsia" w:ascii="宋体" w:hAnsi="宋体" w:cs="Cambria Math"/>
          <w:highlight w:val="none"/>
        </w:rPr>
      </w:pPr>
      <w:r>
        <w:rPr>
          <w:rFonts w:hint="eastAsia" w:ascii="宋体" w:hAnsi="宋体"/>
          <w:highlight w:val="none"/>
        </w:rPr>
        <w:t>双方应依法依规开展本协议项下的合作联营活动，并积极配合相关主管部门的指导或要求。</w:t>
      </w:r>
    </w:p>
    <w:p w14:paraId="22178392">
      <w:pPr>
        <w:pStyle w:val="12"/>
        <w:numPr>
          <w:ilvl w:val="0"/>
          <w:numId w:val="5"/>
        </w:numPr>
        <w:spacing w:line="500" w:lineRule="exact"/>
        <w:ind w:left="0" w:firstLine="480"/>
        <w:rPr>
          <w:rFonts w:hint="eastAsia" w:ascii="宋体" w:hAnsi="宋体" w:cs="Cambria Math"/>
          <w:highlight w:val="none"/>
        </w:rPr>
      </w:pPr>
      <w:r>
        <w:rPr>
          <w:rFonts w:hint="eastAsia" w:ascii="宋体" w:hAnsi="宋体"/>
          <w:highlight w:val="none"/>
        </w:rPr>
        <w:t>合作联营期间，甲方有权要求乙方完善签订相应的成品油购销协议，乙方应确保乙方及相关主体无条件配合签署该等协议。</w:t>
      </w:r>
    </w:p>
    <w:p w14:paraId="27D852D9">
      <w:pPr>
        <w:pStyle w:val="12"/>
        <w:numPr>
          <w:ilvl w:val="0"/>
          <w:numId w:val="5"/>
        </w:numPr>
        <w:spacing w:line="500" w:lineRule="exact"/>
        <w:ind w:left="0" w:firstLine="480"/>
        <w:rPr>
          <w:rFonts w:hint="eastAsia" w:ascii="宋体" w:hAnsi="宋体" w:cs="Cambria Math"/>
          <w:highlight w:val="none"/>
        </w:rPr>
      </w:pPr>
      <w:r>
        <w:rPr>
          <w:rFonts w:hint="eastAsia" w:ascii="宋体" w:hAnsi="宋体"/>
          <w:highlight w:val="none"/>
        </w:rPr>
        <w:t>合作联营期间内，在未对本协议约定的分成条款造成重大影响的情况下，甲方有权优化和调整合作联营所涉交易架构和经营管理职责等事项，乙方应保证无条件配合，并签署相应的补充协议。</w:t>
      </w:r>
    </w:p>
    <w:p w14:paraId="46869A77">
      <w:pPr>
        <w:pStyle w:val="12"/>
        <w:numPr>
          <w:ilvl w:val="0"/>
          <w:numId w:val="5"/>
        </w:numPr>
        <w:spacing w:line="500" w:lineRule="exact"/>
        <w:ind w:left="0" w:firstLine="480"/>
        <w:rPr>
          <w:rFonts w:hint="eastAsia" w:ascii="宋体" w:hAnsi="宋体" w:cs="Cambria Math"/>
          <w:highlight w:val="none"/>
        </w:rPr>
      </w:pPr>
      <w:r>
        <w:rPr>
          <w:rFonts w:hint="eastAsia" w:ascii="宋体" w:hAnsi="宋体" w:cs="Cambria Math"/>
          <w:highlight w:val="none"/>
        </w:rPr>
        <w:t>除乙方应负责的《租赁合同》约定的承租方义务（包括对加油站物业的照管义务、相关保险的购买义务等）外，甲乙双方共同承担</w:t>
      </w:r>
      <w:r>
        <w:rPr>
          <w:rFonts w:hint="eastAsia" w:ascii="宋体" w:hAnsi="宋体"/>
          <w:highlight w:val="none"/>
        </w:rPr>
        <w:t>加油站项目内</w:t>
      </w:r>
      <w:r>
        <w:rPr>
          <w:rFonts w:hint="eastAsia" w:ascii="宋体" w:hAnsi="宋体" w:cs="宋体"/>
          <w:color w:val="1B1B1B"/>
          <w:kern w:val="0"/>
          <w:highlight w:val="none"/>
        </w:rPr>
        <w:t>场所、设施（含储存设施）及建筑物毁损灭失的风险</w:t>
      </w:r>
      <w:r>
        <w:rPr>
          <w:rFonts w:hint="eastAsia"/>
          <w:highlight w:val="none"/>
        </w:rPr>
        <w:t>。</w:t>
      </w:r>
    </w:p>
    <w:p w14:paraId="203B2D66">
      <w:pPr>
        <w:pStyle w:val="12"/>
        <w:numPr>
          <w:ilvl w:val="0"/>
          <w:numId w:val="5"/>
        </w:numPr>
        <w:spacing w:line="500" w:lineRule="exact"/>
        <w:ind w:left="0" w:firstLine="480"/>
        <w:rPr>
          <w:rFonts w:hint="eastAsia" w:ascii="宋体" w:hAnsi="宋体" w:cs="Cambria Math"/>
          <w:highlight w:val="none"/>
        </w:rPr>
      </w:pPr>
      <w:r>
        <w:rPr>
          <w:rFonts w:hint="eastAsia" w:ascii="宋体" w:hAnsi="宋体" w:cs="Cambria Math"/>
          <w:highlight w:val="none"/>
        </w:rPr>
        <w:t>若因乙方原因导致甲方被任何第三方主张权利或索赔，或因此遭受行政处罚等不利后果的，由</w:t>
      </w:r>
      <w:r>
        <w:rPr>
          <w:rFonts w:hint="eastAsia" w:ascii="宋体" w:hAnsi="宋体"/>
          <w:highlight w:val="none"/>
        </w:rPr>
        <w:t>乙方</w:t>
      </w:r>
      <w:r>
        <w:rPr>
          <w:rFonts w:hint="eastAsia" w:ascii="宋体" w:hAnsi="宋体" w:cs="Cambria Math"/>
          <w:highlight w:val="none"/>
        </w:rPr>
        <w:t>负责处理相关问题、纠纷，承担全部责任，并赔偿甲方因此遭受的全部损失。</w:t>
      </w:r>
    </w:p>
    <w:p w14:paraId="1A7083C8">
      <w:pPr>
        <w:pStyle w:val="12"/>
        <w:numPr>
          <w:ilvl w:val="0"/>
          <w:numId w:val="5"/>
        </w:numPr>
        <w:kinsoku w:val="0"/>
        <w:overflowPunct w:val="0"/>
        <w:autoSpaceDE w:val="0"/>
        <w:autoSpaceDN w:val="0"/>
        <w:adjustRightInd w:val="0"/>
        <w:snapToGrid w:val="0"/>
        <w:spacing w:line="500" w:lineRule="exact"/>
        <w:ind w:left="0" w:firstLine="480"/>
        <w:rPr>
          <w:rFonts w:hint="eastAsia" w:ascii="宋体" w:hAnsi="宋体" w:cs="Cambria Math"/>
          <w:highlight w:val="none"/>
        </w:rPr>
      </w:pPr>
      <w:r>
        <w:rPr>
          <w:rFonts w:hint="eastAsia" w:ascii="宋体" w:hAnsi="宋体" w:cs="Cambria Math"/>
          <w:highlight w:val="none"/>
        </w:rPr>
        <w:t>双方一致同意在本协议签署之日起【  】日内向甲方指定公证机构申请办理赋予对本协议的强制执行效力，公证费用由乙方承担。如乙方违反本协议约定的，甲方在追索本协议项下乙方所欠租金及其他相相关费用时，有权直接向有管辖权的人民法院申请强制执行，乙方自愿接受人民法院强制执行。</w:t>
      </w:r>
    </w:p>
    <w:p w14:paraId="69EFF638">
      <w:pPr>
        <w:pStyle w:val="12"/>
        <w:numPr>
          <w:ilvl w:val="255"/>
          <w:numId w:val="0"/>
        </w:numPr>
        <w:spacing w:line="500" w:lineRule="exact"/>
        <w:rPr>
          <w:rFonts w:hint="eastAsia" w:ascii="宋体" w:hAnsi="宋体" w:cs="Cambria Math"/>
          <w:highlight w:val="none"/>
        </w:rPr>
      </w:pPr>
    </w:p>
    <w:p w14:paraId="35EB6234">
      <w:pPr>
        <w:numPr>
          <w:ilvl w:val="0"/>
          <w:numId w:val="1"/>
        </w:numPr>
        <w:tabs>
          <w:tab w:val="left" w:pos="1442"/>
        </w:tabs>
        <w:adjustRightInd w:val="0"/>
        <w:snapToGrid w:val="0"/>
        <w:spacing w:line="500" w:lineRule="exact"/>
        <w:ind w:left="0" w:firstLine="0"/>
        <w:outlineLvl w:val="0"/>
        <w:rPr>
          <w:rFonts w:hint="eastAsia" w:ascii="宋体" w:hAnsi="宋体"/>
          <w:b/>
          <w:highlight w:val="none"/>
        </w:rPr>
      </w:pPr>
      <w:r>
        <w:rPr>
          <w:rFonts w:ascii="宋体" w:hAnsi="宋体"/>
          <w:b/>
          <w:highlight w:val="none"/>
        </w:rPr>
        <w:t>陈述与保证</w:t>
      </w:r>
    </w:p>
    <w:p w14:paraId="70842109">
      <w:pPr>
        <w:pStyle w:val="12"/>
        <w:numPr>
          <w:ilvl w:val="0"/>
          <w:numId w:val="22"/>
        </w:numPr>
        <w:tabs>
          <w:tab w:val="left" w:pos="1442"/>
        </w:tabs>
        <w:adjustRightInd w:val="0"/>
        <w:snapToGrid w:val="0"/>
        <w:spacing w:line="500" w:lineRule="exact"/>
        <w:ind w:left="0" w:firstLine="480"/>
        <w:outlineLvl w:val="0"/>
        <w:rPr>
          <w:rFonts w:hint="eastAsia" w:ascii="宋体" w:hAnsi="宋体" w:cs="Cambria Math"/>
          <w:highlight w:val="none"/>
        </w:rPr>
      </w:pPr>
      <w:r>
        <w:rPr>
          <w:rFonts w:ascii="宋体" w:hAnsi="宋体" w:cs="Cambria Math"/>
          <w:highlight w:val="none"/>
        </w:rPr>
        <w:t>双方具有以其自身名义签署本协议，以及履行并承担本协议项下义务和责任的合法有效资格及完全行为能力。</w:t>
      </w:r>
    </w:p>
    <w:p w14:paraId="6BB03CE8">
      <w:pPr>
        <w:pStyle w:val="12"/>
        <w:numPr>
          <w:ilvl w:val="0"/>
          <w:numId w:val="22"/>
        </w:numPr>
        <w:tabs>
          <w:tab w:val="left" w:pos="1442"/>
        </w:tabs>
        <w:adjustRightInd w:val="0"/>
        <w:snapToGrid w:val="0"/>
        <w:spacing w:line="500" w:lineRule="exact"/>
        <w:ind w:left="0" w:firstLine="480"/>
        <w:outlineLvl w:val="0"/>
        <w:rPr>
          <w:rFonts w:hint="eastAsia" w:ascii="宋体" w:hAnsi="宋体" w:cs="Cambria Math"/>
          <w:highlight w:val="none"/>
        </w:rPr>
      </w:pPr>
      <w:r>
        <w:rPr>
          <w:rFonts w:ascii="宋体" w:hAnsi="宋体" w:cs="Cambria Math"/>
          <w:highlight w:val="none"/>
        </w:rPr>
        <w:t>双方承诺，其在签署本协议时已经履行了必要的公司内部议事和批准程序。双方确认，代表一方签订本协议的个人已经获得该方充分的授权，有权代表己方签署本协议，该个人的行为代表并约束该方。</w:t>
      </w:r>
    </w:p>
    <w:p w14:paraId="0993721D">
      <w:pPr>
        <w:pStyle w:val="12"/>
        <w:numPr>
          <w:ilvl w:val="0"/>
          <w:numId w:val="22"/>
        </w:numPr>
        <w:tabs>
          <w:tab w:val="left" w:pos="1442"/>
        </w:tabs>
        <w:adjustRightInd w:val="0"/>
        <w:snapToGrid w:val="0"/>
        <w:spacing w:line="500" w:lineRule="exact"/>
        <w:ind w:left="0" w:firstLine="480"/>
        <w:outlineLvl w:val="0"/>
        <w:rPr>
          <w:rFonts w:hint="eastAsia" w:ascii="宋体" w:hAnsi="宋体" w:cs="Cambria Math"/>
          <w:highlight w:val="none"/>
        </w:rPr>
      </w:pPr>
      <w:r>
        <w:rPr>
          <w:rFonts w:ascii="宋体" w:hAnsi="宋体" w:cs="Cambria Math"/>
          <w:highlight w:val="none"/>
        </w:rPr>
        <w:t>双方签订并履行本协议不违反对其有约束力的判决、裁决、合同、协议或其他文件，并且不侵害任何第三方权益。</w:t>
      </w:r>
    </w:p>
    <w:p w14:paraId="6A5A8E41">
      <w:pPr>
        <w:pStyle w:val="12"/>
        <w:numPr>
          <w:ilvl w:val="0"/>
          <w:numId w:val="22"/>
        </w:numPr>
        <w:tabs>
          <w:tab w:val="left" w:pos="1442"/>
        </w:tabs>
        <w:adjustRightInd w:val="0"/>
        <w:snapToGrid w:val="0"/>
        <w:spacing w:line="500" w:lineRule="exact"/>
        <w:ind w:left="0" w:firstLine="480"/>
        <w:outlineLvl w:val="0"/>
        <w:rPr>
          <w:rFonts w:hint="eastAsia" w:ascii="宋体" w:hAnsi="宋体" w:cs="Cambria Math"/>
          <w:highlight w:val="none"/>
        </w:rPr>
      </w:pPr>
      <w:r>
        <w:rPr>
          <w:rFonts w:ascii="宋体" w:hAnsi="宋体" w:cs="Cambria Math"/>
          <w:highlight w:val="none"/>
        </w:rPr>
        <w:t>双方承诺，除本协议各条款中已经明确规定的文件之外，合作双方根据本协议的规定及对方的合理要求，签署或出具必要文件或采取必要行动，以使合作双方完全实现其在本协议项下的权利。</w:t>
      </w:r>
    </w:p>
    <w:p w14:paraId="0E5129B0">
      <w:pPr>
        <w:pStyle w:val="12"/>
        <w:numPr>
          <w:ilvl w:val="0"/>
          <w:numId w:val="22"/>
        </w:numPr>
        <w:tabs>
          <w:tab w:val="left" w:pos="1442"/>
        </w:tabs>
        <w:adjustRightInd w:val="0"/>
        <w:snapToGrid w:val="0"/>
        <w:spacing w:line="500" w:lineRule="exact"/>
        <w:ind w:left="0" w:firstLine="480"/>
        <w:outlineLvl w:val="0"/>
        <w:rPr>
          <w:rFonts w:hint="eastAsia" w:ascii="宋体" w:hAnsi="宋体" w:cs="Cambria Math"/>
          <w:highlight w:val="none"/>
        </w:rPr>
      </w:pPr>
      <w:r>
        <w:rPr>
          <w:rFonts w:ascii="宋体" w:hAnsi="宋体" w:cs="Cambria Math"/>
          <w:highlight w:val="none"/>
        </w:rPr>
        <w:t>双方承诺并保证，本协议签订之日起至本协议终止期间，除</w:t>
      </w:r>
      <w:r>
        <w:rPr>
          <w:rFonts w:hint="eastAsia" w:ascii="宋体" w:hAnsi="宋体" w:cs="Cambria Math"/>
          <w:highlight w:val="none"/>
        </w:rPr>
        <w:t>主管部门要求、甲方集团内部关联方转让</w:t>
      </w:r>
      <w:r>
        <w:rPr>
          <w:rFonts w:ascii="宋体" w:hAnsi="宋体" w:cs="Cambria Math"/>
          <w:highlight w:val="none"/>
        </w:rPr>
        <w:t>或双方一致同意外，双方均不得将其根据本协议享有的任何权益转让给第三方。</w:t>
      </w:r>
    </w:p>
    <w:p w14:paraId="104CCEC1">
      <w:pPr>
        <w:spacing w:line="500" w:lineRule="exact"/>
        <w:rPr>
          <w:rFonts w:hint="eastAsia" w:ascii="宋体" w:hAnsi="宋体" w:cs="Cambria Math"/>
          <w:highlight w:val="none"/>
        </w:rPr>
      </w:pPr>
    </w:p>
    <w:p w14:paraId="5B948AF5">
      <w:pPr>
        <w:numPr>
          <w:ilvl w:val="0"/>
          <w:numId w:val="1"/>
        </w:numPr>
        <w:tabs>
          <w:tab w:val="left" w:pos="1442"/>
        </w:tabs>
        <w:adjustRightInd w:val="0"/>
        <w:snapToGrid w:val="0"/>
        <w:spacing w:line="500" w:lineRule="exact"/>
        <w:ind w:left="0" w:firstLine="0"/>
        <w:outlineLvl w:val="0"/>
        <w:rPr>
          <w:rFonts w:hint="eastAsia" w:ascii="宋体" w:hAnsi="宋体" w:cs="Cambria Math"/>
          <w:b/>
          <w:highlight w:val="none"/>
        </w:rPr>
      </w:pPr>
      <w:r>
        <w:rPr>
          <w:rFonts w:hint="eastAsia" w:ascii="宋体" w:hAnsi="宋体" w:cs="Cambria Math"/>
          <w:b/>
          <w:highlight w:val="none"/>
        </w:rPr>
        <w:t>合同的变更、解除与终止</w:t>
      </w:r>
    </w:p>
    <w:p w14:paraId="46E2FB87">
      <w:pPr>
        <w:pStyle w:val="12"/>
        <w:numPr>
          <w:ilvl w:val="0"/>
          <w:numId w:val="23"/>
        </w:numPr>
        <w:tabs>
          <w:tab w:val="left" w:pos="1442"/>
        </w:tabs>
        <w:adjustRightInd w:val="0"/>
        <w:snapToGrid w:val="0"/>
        <w:spacing w:line="500" w:lineRule="exact"/>
        <w:ind w:left="0" w:firstLine="480"/>
        <w:outlineLvl w:val="0"/>
        <w:rPr>
          <w:rFonts w:hint="eastAsia" w:cs="Cambria Math"/>
          <w:highlight w:val="none"/>
        </w:rPr>
      </w:pPr>
      <w:r>
        <w:rPr>
          <w:rFonts w:hint="eastAsia" w:cs="Cambria Math"/>
          <w:highlight w:val="none"/>
        </w:rPr>
        <w:t>除本协议另有约定外，任一方不得单方面擅自变更或解除本协议。</w:t>
      </w:r>
      <w:r>
        <w:rPr>
          <w:rFonts w:cs="Cambria Math"/>
          <w:highlight w:val="none"/>
        </w:rPr>
        <w:t>经双方协商一致，可对本协议的条款进行变更与修改。但此变更与修改须采取书面形式，并须由双方授权代表签字、盖章方为有效。</w:t>
      </w:r>
    </w:p>
    <w:p w14:paraId="689AC022">
      <w:pPr>
        <w:pStyle w:val="12"/>
        <w:numPr>
          <w:ilvl w:val="0"/>
          <w:numId w:val="23"/>
        </w:numPr>
        <w:tabs>
          <w:tab w:val="left" w:pos="1442"/>
        </w:tabs>
        <w:adjustRightInd w:val="0"/>
        <w:snapToGrid w:val="0"/>
        <w:spacing w:line="500" w:lineRule="exact"/>
        <w:ind w:left="0" w:firstLine="480"/>
        <w:outlineLvl w:val="0"/>
        <w:rPr>
          <w:rFonts w:hint="eastAsia" w:cs="Cambria Math"/>
          <w:highlight w:val="none"/>
        </w:rPr>
      </w:pPr>
      <w:r>
        <w:rPr>
          <w:rFonts w:hint="eastAsia" w:cs="Cambria Math"/>
          <w:highlight w:val="none"/>
        </w:rPr>
        <w:t>如出现以下情形之一，甲方有权单方解除本协议且不承担违约责任，本协议自甲方向乙方送达解除通知之日起满5日自动解除：</w:t>
      </w:r>
    </w:p>
    <w:p w14:paraId="2EB801F6">
      <w:pPr>
        <w:pStyle w:val="12"/>
        <w:numPr>
          <w:ilvl w:val="0"/>
          <w:numId w:val="24"/>
        </w:numPr>
        <w:spacing w:line="500" w:lineRule="exact"/>
        <w:ind w:left="0" w:firstLine="480"/>
        <w:rPr>
          <w:rFonts w:hint="eastAsia" w:ascii="宋体" w:hAnsi="宋体"/>
          <w:highlight w:val="none"/>
        </w:rPr>
      </w:pPr>
      <w:r>
        <w:rPr>
          <w:rFonts w:hint="eastAsia" w:ascii="宋体" w:hAnsi="宋体"/>
          <w:highlight w:val="none"/>
        </w:rPr>
        <w:t>乙方向甲方披露的资料、确认、陈述、保证、承诺以及本协议项下乙方的承诺、声明与陈述等不真实、不准确、不完整或存在重大误导、重大遗漏或存在违反情形。</w:t>
      </w:r>
    </w:p>
    <w:p w14:paraId="76FD7D78">
      <w:pPr>
        <w:pStyle w:val="12"/>
        <w:numPr>
          <w:ilvl w:val="0"/>
          <w:numId w:val="24"/>
        </w:numPr>
        <w:spacing w:line="500" w:lineRule="exact"/>
        <w:ind w:left="0" w:firstLine="480"/>
        <w:rPr>
          <w:rFonts w:hint="eastAsia" w:ascii="宋体" w:hAnsi="宋体"/>
          <w:highlight w:val="none"/>
        </w:rPr>
      </w:pPr>
      <w:r>
        <w:rPr>
          <w:rFonts w:hint="eastAsia" w:ascii="宋体" w:hAnsi="宋体"/>
          <w:highlight w:val="none"/>
        </w:rPr>
        <w:t>乙方生产经营出现严重困难、财务状况恶化、涉及重大经济纠纷对经营或财产状况产生重大不利后果的、停产歇业、被注销登记、被吊销、被撤销、申请或被申请破产、结算等情形；</w:t>
      </w:r>
    </w:p>
    <w:p w14:paraId="5574B9D3">
      <w:pPr>
        <w:pStyle w:val="12"/>
        <w:numPr>
          <w:ilvl w:val="0"/>
          <w:numId w:val="24"/>
        </w:numPr>
        <w:spacing w:line="500" w:lineRule="exact"/>
        <w:ind w:firstLineChars="0"/>
        <w:rPr>
          <w:rFonts w:hint="eastAsia" w:ascii="宋体" w:hAnsi="宋体"/>
          <w:highlight w:val="none"/>
        </w:rPr>
      </w:pPr>
      <w:r>
        <w:rPr>
          <w:rFonts w:hint="eastAsia" w:ascii="宋体" w:hAnsi="宋体"/>
          <w:highlight w:val="none"/>
        </w:rPr>
        <w:t>因乙方原因导致加油站项目未能正常运营超过30日以上的；</w:t>
      </w:r>
    </w:p>
    <w:p w14:paraId="6C5CA3AD">
      <w:pPr>
        <w:pStyle w:val="12"/>
        <w:numPr>
          <w:ilvl w:val="0"/>
          <w:numId w:val="24"/>
        </w:numPr>
        <w:spacing w:line="500" w:lineRule="exact"/>
        <w:ind w:firstLineChars="0"/>
        <w:rPr>
          <w:rFonts w:hint="eastAsia" w:ascii="宋体" w:hAnsi="宋体"/>
          <w:highlight w:val="none"/>
        </w:rPr>
      </w:pPr>
      <w:r>
        <w:rPr>
          <w:rFonts w:hint="eastAsia" w:ascii="宋体" w:hAnsi="宋体"/>
          <w:highlight w:val="none"/>
        </w:rPr>
        <w:t>因乙方原因导致加油站项目出现安全生产事故的；</w:t>
      </w:r>
    </w:p>
    <w:p w14:paraId="364B2678">
      <w:pPr>
        <w:pStyle w:val="12"/>
        <w:numPr>
          <w:ilvl w:val="0"/>
          <w:numId w:val="24"/>
        </w:numPr>
        <w:spacing w:line="500" w:lineRule="exact"/>
        <w:ind w:firstLineChars="0"/>
        <w:rPr>
          <w:rFonts w:hint="eastAsia" w:ascii="宋体" w:hAnsi="宋体"/>
          <w:highlight w:val="none"/>
        </w:rPr>
      </w:pPr>
      <w:r>
        <w:rPr>
          <w:rFonts w:hint="eastAsia" w:ascii="宋体" w:hAnsi="宋体"/>
          <w:highlight w:val="none"/>
        </w:rPr>
        <w:t>因乙方违反本协议约定，造成甲方损失的；</w:t>
      </w:r>
    </w:p>
    <w:p w14:paraId="718EA19B">
      <w:pPr>
        <w:pStyle w:val="12"/>
        <w:numPr>
          <w:ilvl w:val="0"/>
          <w:numId w:val="24"/>
        </w:numPr>
        <w:spacing w:line="500" w:lineRule="exact"/>
        <w:ind w:firstLineChars="0"/>
        <w:rPr>
          <w:rFonts w:hint="eastAsia" w:ascii="宋体" w:hAnsi="宋体"/>
          <w:highlight w:val="none"/>
        </w:rPr>
      </w:pPr>
      <w:r>
        <w:rPr>
          <w:rFonts w:hint="eastAsia" w:ascii="宋体" w:hAnsi="宋体"/>
          <w:highlight w:val="none"/>
        </w:rPr>
        <w:t>因乙方原因导致《租赁合同》终止或提前解除的；</w:t>
      </w:r>
    </w:p>
    <w:p w14:paraId="7BC9F145">
      <w:pPr>
        <w:pStyle w:val="12"/>
        <w:numPr>
          <w:ilvl w:val="0"/>
          <w:numId w:val="24"/>
        </w:numPr>
        <w:spacing w:line="500" w:lineRule="exact"/>
        <w:ind w:left="0" w:firstLine="480"/>
        <w:rPr>
          <w:rFonts w:hint="eastAsia" w:ascii="宋体" w:hAnsi="宋体"/>
          <w:highlight w:val="none"/>
        </w:rPr>
      </w:pPr>
      <w:r>
        <w:rPr>
          <w:rFonts w:hint="eastAsia" w:ascii="宋体" w:hAnsi="宋体"/>
          <w:highlight w:val="none"/>
        </w:rPr>
        <w:t>乙方违反本协议约定义务，经甲方通知后【</w:t>
      </w:r>
      <w:r>
        <w:rPr>
          <w:rFonts w:ascii="宋体" w:hAnsi="宋体"/>
          <w:highlight w:val="none"/>
        </w:rPr>
        <w:t>10</w:t>
      </w:r>
      <w:r>
        <w:rPr>
          <w:rFonts w:hint="eastAsia" w:ascii="宋体" w:hAnsi="宋体"/>
          <w:highlight w:val="none"/>
        </w:rPr>
        <w:t>】日内仍未整改完成的。</w:t>
      </w:r>
    </w:p>
    <w:p w14:paraId="22897A6D">
      <w:pPr>
        <w:pStyle w:val="12"/>
        <w:numPr>
          <w:ilvl w:val="0"/>
          <w:numId w:val="24"/>
        </w:numPr>
        <w:spacing w:line="500" w:lineRule="exact"/>
        <w:ind w:left="0" w:firstLine="480"/>
        <w:rPr>
          <w:rFonts w:hint="eastAsia" w:ascii="宋体" w:hAnsi="宋体"/>
          <w:highlight w:val="none"/>
        </w:rPr>
      </w:pPr>
      <w:r>
        <w:rPr>
          <w:rFonts w:hint="eastAsia" w:ascii="宋体" w:hAnsi="宋体"/>
          <w:highlight w:val="none"/>
        </w:rPr>
        <w:t>本协议约定及法律规定的其他情形。</w:t>
      </w:r>
    </w:p>
    <w:p w14:paraId="50E00D3A">
      <w:pPr>
        <w:pStyle w:val="12"/>
        <w:numPr>
          <w:ilvl w:val="0"/>
          <w:numId w:val="23"/>
        </w:numPr>
        <w:tabs>
          <w:tab w:val="left" w:pos="1442"/>
        </w:tabs>
        <w:adjustRightInd w:val="0"/>
        <w:snapToGrid w:val="0"/>
        <w:spacing w:line="500" w:lineRule="exact"/>
        <w:ind w:left="0" w:firstLine="480"/>
        <w:outlineLvl w:val="0"/>
        <w:rPr>
          <w:rFonts w:hint="eastAsia" w:cs="Cambria Math"/>
          <w:highlight w:val="none"/>
        </w:rPr>
      </w:pPr>
      <w:r>
        <w:rPr>
          <w:rFonts w:hint="eastAsia" w:cs="Cambria Math"/>
          <w:highlight w:val="none"/>
        </w:rPr>
        <w:t>如出现以下情形之一，本协议终止：</w:t>
      </w:r>
    </w:p>
    <w:p w14:paraId="380F43FD">
      <w:pPr>
        <w:pStyle w:val="12"/>
        <w:numPr>
          <w:ilvl w:val="0"/>
          <w:numId w:val="25"/>
        </w:numPr>
        <w:spacing w:line="500" w:lineRule="exact"/>
        <w:ind w:firstLineChars="0"/>
        <w:rPr>
          <w:rFonts w:hint="eastAsia" w:ascii="宋体" w:hAnsi="宋体"/>
          <w:highlight w:val="none"/>
        </w:rPr>
      </w:pPr>
      <w:r>
        <w:rPr>
          <w:rFonts w:hint="eastAsia" w:ascii="宋体" w:hAnsi="宋体"/>
          <w:highlight w:val="none"/>
        </w:rPr>
        <w:t>由双方协议一致同意终止。</w:t>
      </w:r>
    </w:p>
    <w:p w14:paraId="0F92FF98">
      <w:pPr>
        <w:pStyle w:val="12"/>
        <w:numPr>
          <w:ilvl w:val="0"/>
          <w:numId w:val="25"/>
        </w:numPr>
        <w:spacing w:line="500" w:lineRule="exact"/>
        <w:ind w:left="0" w:firstLine="480"/>
        <w:rPr>
          <w:rFonts w:hint="eastAsia" w:ascii="宋体" w:hAnsi="宋体"/>
          <w:highlight w:val="none"/>
        </w:rPr>
      </w:pPr>
      <w:r>
        <w:rPr>
          <w:rFonts w:hint="eastAsia" w:ascii="宋体" w:hAnsi="宋体"/>
          <w:highlight w:val="none"/>
        </w:rPr>
        <w:t>有权机关对本次合作联营不予批准/同意/认可或存在任何否决/不认可意见，本次合作联营出现不符合相关法律法规及监管要求的情形时，甲方有权终止本协议。</w:t>
      </w:r>
    </w:p>
    <w:p w14:paraId="316EB0A6">
      <w:pPr>
        <w:pStyle w:val="12"/>
        <w:numPr>
          <w:ilvl w:val="0"/>
          <w:numId w:val="25"/>
        </w:numPr>
        <w:spacing w:line="500" w:lineRule="exact"/>
        <w:ind w:left="0" w:firstLine="480"/>
        <w:rPr>
          <w:rFonts w:hint="eastAsia" w:ascii="宋体" w:hAnsi="宋体"/>
          <w:highlight w:val="none"/>
        </w:rPr>
      </w:pPr>
      <w:r>
        <w:rPr>
          <w:rFonts w:hint="eastAsia" w:ascii="宋体" w:hAnsi="宋体"/>
          <w:highlight w:val="none"/>
        </w:rPr>
        <w:t>发生不可抗力事项，导致本次合作联营无法进行或继续进行对其中一方出现重大不利影响。</w:t>
      </w:r>
    </w:p>
    <w:p w14:paraId="45A4A238">
      <w:pPr>
        <w:pStyle w:val="12"/>
        <w:numPr>
          <w:ilvl w:val="0"/>
          <w:numId w:val="25"/>
        </w:numPr>
        <w:spacing w:line="500" w:lineRule="exact"/>
        <w:ind w:left="0" w:firstLine="480"/>
        <w:rPr>
          <w:rFonts w:hint="eastAsia" w:ascii="宋体" w:hAnsi="宋体"/>
          <w:highlight w:val="none"/>
        </w:rPr>
      </w:pPr>
      <w:r>
        <w:rPr>
          <w:rFonts w:hint="eastAsia" w:ascii="宋体" w:hAnsi="宋体"/>
          <w:highlight w:val="none"/>
        </w:rPr>
        <w:t>非因一方违约，发生导致加油站项目无法经营或本协议项下合作联营活动无法开展的障碍且该等障碍无法消除的情形。</w:t>
      </w:r>
    </w:p>
    <w:p w14:paraId="4371C42F">
      <w:pPr>
        <w:pStyle w:val="12"/>
        <w:numPr>
          <w:ilvl w:val="0"/>
          <w:numId w:val="23"/>
        </w:numPr>
        <w:tabs>
          <w:tab w:val="left" w:pos="1442"/>
        </w:tabs>
        <w:adjustRightInd w:val="0"/>
        <w:snapToGrid w:val="0"/>
        <w:spacing w:line="500" w:lineRule="exact"/>
        <w:ind w:left="0" w:firstLine="480"/>
        <w:outlineLvl w:val="0"/>
        <w:rPr>
          <w:rFonts w:hint="eastAsia" w:ascii="宋体" w:hAnsi="宋体"/>
          <w:highlight w:val="none"/>
        </w:rPr>
      </w:pPr>
      <w:r>
        <w:rPr>
          <w:rFonts w:hint="eastAsia" w:ascii="宋体" w:hAnsi="宋体"/>
          <w:highlight w:val="none"/>
        </w:rPr>
        <w:t>本协议解除或终止后，本协议约定的相关违约责任、保密、法律适用及争议解决等条款仍然有效。本协议的解除或终止，不影响任何一方在本协议项下获得赔偿或补偿的权利。</w:t>
      </w:r>
    </w:p>
    <w:p w14:paraId="0EA1C20E">
      <w:pPr>
        <w:spacing w:line="500" w:lineRule="exact"/>
        <w:rPr>
          <w:rFonts w:hint="eastAsia" w:ascii="宋体" w:hAnsi="宋体" w:cs="Cambria Math"/>
          <w:highlight w:val="none"/>
        </w:rPr>
      </w:pPr>
    </w:p>
    <w:p w14:paraId="6D2A6EB5">
      <w:pPr>
        <w:numPr>
          <w:ilvl w:val="0"/>
          <w:numId w:val="1"/>
        </w:numPr>
        <w:tabs>
          <w:tab w:val="left" w:pos="1442"/>
        </w:tabs>
        <w:adjustRightInd w:val="0"/>
        <w:snapToGrid w:val="0"/>
        <w:spacing w:line="500" w:lineRule="exact"/>
        <w:ind w:left="0" w:firstLine="0"/>
        <w:outlineLvl w:val="0"/>
        <w:rPr>
          <w:rFonts w:hint="eastAsia" w:ascii="宋体" w:hAnsi="宋体"/>
          <w:b/>
          <w:highlight w:val="none"/>
        </w:rPr>
      </w:pPr>
      <w:r>
        <w:rPr>
          <w:rFonts w:hint="eastAsia" w:ascii="宋体" w:hAnsi="宋体"/>
          <w:b/>
          <w:highlight w:val="none"/>
        </w:rPr>
        <w:t>违约责任</w:t>
      </w:r>
    </w:p>
    <w:p w14:paraId="1AA62E7C">
      <w:pPr>
        <w:pStyle w:val="12"/>
        <w:spacing w:line="500" w:lineRule="exact"/>
        <w:ind w:firstLine="480"/>
        <w:rPr>
          <w:rFonts w:hint="eastAsia" w:ascii="宋体" w:hAnsi="宋体" w:cs="Cambria Math"/>
          <w:highlight w:val="none"/>
        </w:rPr>
      </w:pPr>
      <w:r>
        <w:rPr>
          <w:rFonts w:hint="eastAsia" w:ascii="宋体" w:hAnsi="宋体" w:cs="Cambria Math"/>
          <w:highlight w:val="none"/>
        </w:rPr>
        <w:t>若本协议签署后因乙方违约导致</w:t>
      </w:r>
      <w:r>
        <w:rPr>
          <w:rFonts w:ascii="宋体" w:hAnsi="宋体" w:cs="Cambria Math"/>
          <w:highlight w:val="none"/>
        </w:rPr>
        <w:t>出现</w:t>
      </w:r>
      <w:r>
        <w:rPr>
          <w:rFonts w:hint="eastAsia" w:ascii="宋体" w:hAnsi="宋体" w:cs="Cambria Math"/>
          <w:highlight w:val="none"/>
        </w:rPr>
        <w:t>本协议第七条第（二）款约定</w:t>
      </w:r>
      <w:r>
        <w:rPr>
          <w:rFonts w:ascii="宋体" w:hAnsi="宋体" w:cs="Cambria Math"/>
          <w:highlight w:val="none"/>
        </w:rPr>
        <w:t>情形的</w:t>
      </w:r>
      <w:r>
        <w:rPr>
          <w:rFonts w:hint="eastAsia" w:ascii="宋体" w:hAnsi="宋体" w:cs="Cambria Math"/>
          <w:highlight w:val="none"/>
        </w:rPr>
        <w:t>，除行使合同解除权外，甲方有权根据乙方的违约及补救情况、损失及影响程度采取如下任一或两种以上的措施，要求乙方承担违约责任：</w:t>
      </w:r>
    </w:p>
    <w:p w14:paraId="4E1F606A">
      <w:pPr>
        <w:pStyle w:val="12"/>
        <w:numPr>
          <w:ilvl w:val="0"/>
          <w:numId w:val="26"/>
        </w:numPr>
        <w:tabs>
          <w:tab w:val="left" w:pos="1442"/>
        </w:tabs>
        <w:adjustRightInd w:val="0"/>
        <w:snapToGrid w:val="0"/>
        <w:spacing w:line="500" w:lineRule="exact"/>
        <w:ind w:left="0" w:firstLine="480"/>
        <w:outlineLvl w:val="0"/>
        <w:rPr>
          <w:rFonts w:hint="eastAsia" w:ascii="宋体" w:hAnsi="宋体"/>
          <w:highlight w:val="none"/>
        </w:rPr>
      </w:pPr>
      <w:r>
        <w:rPr>
          <w:rFonts w:ascii="宋体" w:hAnsi="宋体"/>
          <w:highlight w:val="none"/>
        </w:rPr>
        <w:t>甲方有权</w:t>
      </w:r>
      <w:r>
        <w:rPr>
          <w:rFonts w:hint="eastAsia" w:ascii="宋体" w:hAnsi="宋体"/>
          <w:highlight w:val="none"/>
        </w:rPr>
        <w:t>没收乙方缴纳的部分或全部履约保证金</w:t>
      </w:r>
      <w:r>
        <w:rPr>
          <w:rFonts w:ascii="宋体" w:hAnsi="宋体"/>
          <w:highlight w:val="none"/>
        </w:rPr>
        <w:t>，</w:t>
      </w:r>
      <w:r>
        <w:rPr>
          <w:rFonts w:hint="eastAsia" w:ascii="宋体" w:hAnsi="宋体"/>
          <w:highlight w:val="none"/>
        </w:rPr>
        <w:t>本协议继续履行的，甲方还有权要求乙方继续补足履约保证金</w:t>
      </w:r>
      <w:r>
        <w:rPr>
          <w:rFonts w:ascii="宋体" w:hAnsi="宋体"/>
          <w:highlight w:val="none"/>
        </w:rPr>
        <w:t>；</w:t>
      </w:r>
    </w:p>
    <w:p w14:paraId="3A65CC9E">
      <w:pPr>
        <w:pStyle w:val="12"/>
        <w:numPr>
          <w:ilvl w:val="0"/>
          <w:numId w:val="26"/>
        </w:numPr>
        <w:tabs>
          <w:tab w:val="left" w:pos="1442"/>
        </w:tabs>
        <w:adjustRightInd w:val="0"/>
        <w:snapToGrid w:val="0"/>
        <w:spacing w:line="500" w:lineRule="exact"/>
        <w:ind w:left="0" w:firstLine="480"/>
        <w:outlineLvl w:val="0"/>
        <w:rPr>
          <w:rFonts w:hint="eastAsia" w:ascii="宋体" w:hAnsi="宋体"/>
          <w:highlight w:val="none"/>
        </w:rPr>
      </w:pPr>
      <w:r>
        <w:rPr>
          <w:rFonts w:hint="eastAsia" w:ascii="宋体" w:hAnsi="宋体"/>
          <w:highlight w:val="none"/>
        </w:rPr>
        <w:t>甲方有权直接从应向乙方分成的款项中直接扣除乙方欠付、应付的违约金、赔偿款等费用；</w:t>
      </w:r>
    </w:p>
    <w:p w14:paraId="3721888E">
      <w:pPr>
        <w:pStyle w:val="12"/>
        <w:numPr>
          <w:ilvl w:val="0"/>
          <w:numId w:val="26"/>
        </w:numPr>
        <w:tabs>
          <w:tab w:val="left" w:pos="1442"/>
        </w:tabs>
        <w:adjustRightInd w:val="0"/>
        <w:snapToGrid w:val="0"/>
        <w:spacing w:line="500" w:lineRule="exact"/>
        <w:ind w:left="0" w:firstLine="480"/>
        <w:outlineLvl w:val="0"/>
        <w:rPr>
          <w:rFonts w:hint="eastAsia" w:ascii="宋体" w:hAnsi="宋体"/>
          <w:highlight w:val="none"/>
        </w:rPr>
      </w:pPr>
      <w:r>
        <w:rPr>
          <w:rFonts w:hint="eastAsia" w:ascii="宋体" w:hAnsi="宋体"/>
          <w:highlight w:val="none"/>
        </w:rPr>
        <w:t>暂时停止履行义务，待乙方违约行为及不利后果消除后恢复履行。甲方根据此款约定暂停履行义务不构成甲方不履行或迟延履行义务；</w:t>
      </w:r>
    </w:p>
    <w:p w14:paraId="4B5FEACF">
      <w:pPr>
        <w:pStyle w:val="12"/>
        <w:numPr>
          <w:ilvl w:val="0"/>
          <w:numId w:val="26"/>
        </w:numPr>
        <w:tabs>
          <w:tab w:val="left" w:pos="1442"/>
        </w:tabs>
        <w:adjustRightInd w:val="0"/>
        <w:snapToGrid w:val="0"/>
        <w:spacing w:line="500" w:lineRule="exact"/>
        <w:ind w:left="0" w:firstLine="480"/>
        <w:outlineLvl w:val="0"/>
        <w:rPr>
          <w:rFonts w:hint="eastAsia" w:ascii="宋体" w:hAnsi="宋体"/>
          <w:highlight w:val="none"/>
        </w:rPr>
      </w:pPr>
      <w:r>
        <w:rPr>
          <w:rFonts w:ascii="宋体" w:hAnsi="宋体"/>
          <w:highlight w:val="none"/>
        </w:rPr>
        <w:t>甲方有权要求</w:t>
      </w:r>
      <w:r>
        <w:rPr>
          <w:rFonts w:hint="eastAsia" w:ascii="宋体" w:hAnsi="宋体"/>
          <w:highlight w:val="none"/>
        </w:rPr>
        <w:t>乙方赔偿甲方全部损失，包括但不限于甲方因此发生的诉讼费、律师费、公证费、损害赔偿、罚款、罚金等</w:t>
      </w:r>
      <w:r>
        <w:rPr>
          <w:rFonts w:ascii="宋体" w:hAnsi="宋体"/>
          <w:highlight w:val="none"/>
        </w:rPr>
        <w:t>。</w:t>
      </w:r>
    </w:p>
    <w:p w14:paraId="6CEEB94A">
      <w:pPr>
        <w:pStyle w:val="12"/>
        <w:spacing w:line="500" w:lineRule="exact"/>
        <w:ind w:firstLine="480"/>
        <w:rPr>
          <w:rFonts w:hint="eastAsia" w:ascii="宋体" w:hAnsi="宋体"/>
          <w:highlight w:val="none"/>
        </w:rPr>
      </w:pPr>
    </w:p>
    <w:p w14:paraId="0F273A6F">
      <w:pPr>
        <w:numPr>
          <w:ilvl w:val="0"/>
          <w:numId w:val="1"/>
        </w:numPr>
        <w:tabs>
          <w:tab w:val="left" w:pos="1442"/>
        </w:tabs>
        <w:adjustRightInd w:val="0"/>
        <w:snapToGrid w:val="0"/>
        <w:spacing w:line="500" w:lineRule="exact"/>
        <w:ind w:left="0" w:firstLine="0"/>
        <w:outlineLvl w:val="0"/>
        <w:rPr>
          <w:rFonts w:hint="eastAsia" w:ascii="宋体" w:hAnsi="宋体"/>
          <w:b/>
          <w:highlight w:val="none"/>
        </w:rPr>
      </w:pPr>
      <w:r>
        <w:rPr>
          <w:rFonts w:ascii="宋体" w:hAnsi="宋体"/>
          <w:b/>
          <w:highlight w:val="none"/>
        </w:rPr>
        <w:t>通知与送达</w:t>
      </w:r>
    </w:p>
    <w:p w14:paraId="5475C07E">
      <w:pPr>
        <w:pStyle w:val="12"/>
        <w:spacing w:line="500" w:lineRule="exact"/>
        <w:ind w:firstLine="480"/>
        <w:rPr>
          <w:rFonts w:hint="eastAsia" w:ascii="宋体" w:hAnsi="宋体"/>
          <w:highlight w:val="none"/>
        </w:rPr>
      </w:pPr>
      <w:r>
        <w:rPr>
          <w:rFonts w:ascii="宋体" w:hAnsi="宋体"/>
          <w:highlight w:val="none"/>
        </w:rPr>
        <w:t>本协议下规定或拟作出的全部通知、要求或其他通信应采取中文书面形式，并以以下一个或多个方式送出，其送达有效日期为：（1）如果通过专人送达，这类通知在接收时即应视为已经送达；（2）如果通过信函邮寄方式发送，这类通知在发出之日后5个工作日即应视为已经送达。如一方变更本协议约定联系方式或地址但未提前通知他方的，则另一方按本协议约定地址及联系方式发出通知、文件等即视为送达。</w:t>
      </w:r>
    </w:p>
    <w:p w14:paraId="4E7EFFF4">
      <w:pPr>
        <w:tabs>
          <w:tab w:val="left" w:pos="709"/>
        </w:tabs>
        <w:adjustRightInd w:val="0"/>
        <w:snapToGrid w:val="0"/>
        <w:spacing w:line="500" w:lineRule="exact"/>
        <w:ind w:left="709"/>
        <w:rPr>
          <w:rFonts w:hint="eastAsia" w:ascii="宋体" w:hAnsi="宋体"/>
          <w:highlight w:val="none"/>
        </w:rPr>
      </w:pPr>
      <w:r>
        <w:rPr>
          <w:rFonts w:ascii="宋体" w:hAnsi="宋体"/>
          <w:highlight w:val="none"/>
        </w:rPr>
        <w:t xml:space="preserve">甲方联系人： </w:t>
      </w:r>
    </w:p>
    <w:p w14:paraId="261DB22B">
      <w:pPr>
        <w:tabs>
          <w:tab w:val="left" w:pos="709"/>
        </w:tabs>
        <w:adjustRightInd w:val="0"/>
        <w:snapToGrid w:val="0"/>
        <w:spacing w:line="500" w:lineRule="exact"/>
        <w:ind w:left="709"/>
        <w:rPr>
          <w:rFonts w:hint="eastAsia" w:ascii="宋体" w:hAnsi="宋体"/>
          <w:highlight w:val="none"/>
        </w:rPr>
      </w:pPr>
      <w:r>
        <w:rPr>
          <w:rFonts w:ascii="宋体" w:hAnsi="宋体"/>
          <w:highlight w:val="none"/>
        </w:rPr>
        <w:t xml:space="preserve">地址： </w:t>
      </w:r>
    </w:p>
    <w:p w14:paraId="4F3BAC5F">
      <w:pPr>
        <w:tabs>
          <w:tab w:val="left" w:pos="709"/>
        </w:tabs>
        <w:adjustRightInd w:val="0"/>
        <w:snapToGrid w:val="0"/>
        <w:spacing w:line="500" w:lineRule="exact"/>
        <w:ind w:left="709"/>
        <w:rPr>
          <w:rFonts w:hint="eastAsia" w:ascii="宋体" w:hAnsi="宋体"/>
          <w:highlight w:val="none"/>
        </w:rPr>
      </w:pPr>
      <w:r>
        <w:rPr>
          <w:rFonts w:ascii="宋体" w:hAnsi="宋体"/>
          <w:highlight w:val="none"/>
        </w:rPr>
        <w:t>电话：</w:t>
      </w:r>
    </w:p>
    <w:p w14:paraId="20E21289">
      <w:pPr>
        <w:tabs>
          <w:tab w:val="left" w:pos="709"/>
        </w:tabs>
        <w:adjustRightInd w:val="0"/>
        <w:snapToGrid w:val="0"/>
        <w:spacing w:line="500" w:lineRule="exact"/>
        <w:ind w:left="709"/>
        <w:rPr>
          <w:rFonts w:hint="eastAsia" w:ascii="宋体" w:hAnsi="宋体"/>
          <w:highlight w:val="none"/>
        </w:rPr>
      </w:pPr>
      <w:r>
        <w:rPr>
          <w:rFonts w:ascii="宋体" w:hAnsi="宋体"/>
          <w:highlight w:val="none"/>
        </w:rPr>
        <w:t xml:space="preserve">乙方联系人： </w:t>
      </w:r>
    </w:p>
    <w:p w14:paraId="22085845">
      <w:pPr>
        <w:tabs>
          <w:tab w:val="left" w:pos="709"/>
        </w:tabs>
        <w:adjustRightInd w:val="0"/>
        <w:snapToGrid w:val="0"/>
        <w:spacing w:line="500" w:lineRule="exact"/>
        <w:ind w:left="709"/>
        <w:rPr>
          <w:rFonts w:hint="eastAsia" w:ascii="宋体" w:hAnsi="宋体"/>
          <w:highlight w:val="none"/>
        </w:rPr>
      </w:pPr>
      <w:r>
        <w:rPr>
          <w:rFonts w:ascii="宋体" w:hAnsi="宋体"/>
          <w:highlight w:val="none"/>
        </w:rPr>
        <w:t xml:space="preserve">地址： </w:t>
      </w:r>
    </w:p>
    <w:p w14:paraId="45636344">
      <w:pPr>
        <w:tabs>
          <w:tab w:val="left" w:pos="709"/>
        </w:tabs>
        <w:adjustRightInd w:val="0"/>
        <w:snapToGrid w:val="0"/>
        <w:spacing w:line="500" w:lineRule="exact"/>
        <w:ind w:left="709"/>
        <w:rPr>
          <w:rFonts w:hint="eastAsia" w:ascii="宋体" w:hAnsi="宋体"/>
          <w:highlight w:val="none"/>
        </w:rPr>
      </w:pPr>
      <w:r>
        <w:rPr>
          <w:rFonts w:ascii="宋体" w:hAnsi="宋体"/>
          <w:highlight w:val="none"/>
        </w:rPr>
        <w:t>电话：</w:t>
      </w:r>
    </w:p>
    <w:p w14:paraId="12B559C5">
      <w:pPr>
        <w:numPr>
          <w:ilvl w:val="0"/>
          <w:numId w:val="1"/>
        </w:numPr>
        <w:tabs>
          <w:tab w:val="left" w:pos="1442"/>
        </w:tabs>
        <w:adjustRightInd w:val="0"/>
        <w:snapToGrid w:val="0"/>
        <w:spacing w:line="500" w:lineRule="exact"/>
        <w:ind w:left="0" w:firstLine="0"/>
        <w:outlineLvl w:val="0"/>
        <w:rPr>
          <w:rFonts w:hint="eastAsia" w:ascii="宋体" w:hAnsi="宋体"/>
          <w:b/>
          <w:highlight w:val="none"/>
        </w:rPr>
      </w:pPr>
      <w:r>
        <w:rPr>
          <w:rFonts w:ascii="宋体" w:hAnsi="宋体"/>
          <w:b/>
          <w:highlight w:val="none"/>
        </w:rPr>
        <w:t>保密</w:t>
      </w:r>
    </w:p>
    <w:p w14:paraId="68A84897">
      <w:pPr>
        <w:pStyle w:val="12"/>
        <w:numPr>
          <w:ilvl w:val="0"/>
          <w:numId w:val="27"/>
        </w:numPr>
        <w:tabs>
          <w:tab w:val="left" w:pos="1442"/>
        </w:tabs>
        <w:adjustRightInd w:val="0"/>
        <w:snapToGrid w:val="0"/>
        <w:spacing w:line="500" w:lineRule="exact"/>
        <w:ind w:left="0" w:firstLine="480"/>
        <w:outlineLvl w:val="0"/>
        <w:rPr>
          <w:rFonts w:hint="eastAsia" w:ascii="宋体" w:hAnsi="宋体"/>
          <w:highlight w:val="none"/>
        </w:rPr>
      </w:pPr>
      <w:r>
        <w:rPr>
          <w:rFonts w:ascii="宋体" w:hAnsi="宋体"/>
          <w:highlight w:val="none"/>
        </w:rPr>
        <w:t>双方均应当对本协议的内容，因履行本协议或在本协议期间知悉或收到的对方商务、财务、技术、产品的信息、用户资料或其他标明保密的文件或信息（以下简称保密信息）予以保密，未经保密信息披露方事先书面同意，不得向本协议以外的任何第三方披露。</w:t>
      </w:r>
    </w:p>
    <w:p w14:paraId="670B5AD0">
      <w:pPr>
        <w:pStyle w:val="12"/>
        <w:numPr>
          <w:ilvl w:val="0"/>
          <w:numId w:val="27"/>
        </w:numPr>
        <w:tabs>
          <w:tab w:val="left" w:pos="1442"/>
        </w:tabs>
        <w:adjustRightInd w:val="0"/>
        <w:snapToGrid w:val="0"/>
        <w:spacing w:line="500" w:lineRule="exact"/>
        <w:ind w:left="0" w:firstLine="480"/>
        <w:outlineLvl w:val="0"/>
        <w:rPr>
          <w:rFonts w:hint="eastAsia" w:ascii="宋体" w:hAnsi="宋体"/>
          <w:highlight w:val="none"/>
        </w:rPr>
      </w:pPr>
      <w:r>
        <w:rPr>
          <w:rFonts w:ascii="宋体" w:hAnsi="宋体"/>
          <w:highlight w:val="none"/>
        </w:rPr>
        <w:t>除因履行本协议需要外，未经对方书面同意，不得将秘密性文件资料透露给任何第三方，因履行本协议的需要而向第三方披露的，需同时指示该方遵守本条规定的保密义务，该方违反本条保密义务的，视为接收方违反本条保密义务。</w:t>
      </w:r>
    </w:p>
    <w:p w14:paraId="44D47D8A">
      <w:pPr>
        <w:pStyle w:val="12"/>
        <w:numPr>
          <w:ilvl w:val="0"/>
          <w:numId w:val="27"/>
        </w:numPr>
        <w:tabs>
          <w:tab w:val="left" w:pos="1442"/>
        </w:tabs>
        <w:adjustRightInd w:val="0"/>
        <w:snapToGrid w:val="0"/>
        <w:spacing w:line="500" w:lineRule="exact"/>
        <w:ind w:left="0" w:firstLine="480"/>
        <w:outlineLvl w:val="0"/>
        <w:rPr>
          <w:rFonts w:hint="eastAsia" w:ascii="宋体" w:hAnsi="宋体"/>
          <w:highlight w:val="none"/>
        </w:rPr>
      </w:pPr>
      <w:r>
        <w:rPr>
          <w:rFonts w:ascii="宋体" w:hAnsi="宋体"/>
          <w:highlight w:val="none"/>
        </w:rPr>
        <w:t>保密信息接收方违反本条规定泄露披露方的保密信息的，由此产生的法律责任由接收方承担，造成披露方损失的，接收方应承担由此造成的全部赔偿责任。</w:t>
      </w:r>
    </w:p>
    <w:p w14:paraId="44C6BD1B">
      <w:pPr>
        <w:pStyle w:val="12"/>
        <w:numPr>
          <w:ilvl w:val="0"/>
          <w:numId w:val="27"/>
        </w:numPr>
        <w:tabs>
          <w:tab w:val="left" w:pos="1442"/>
        </w:tabs>
        <w:adjustRightInd w:val="0"/>
        <w:snapToGrid w:val="0"/>
        <w:spacing w:line="500" w:lineRule="exact"/>
        <w:ind w:left="0" w:firstLine="480"/>
        <w:outlineLvl w:val="0"/>
        <w:rPr>
          <w:rFonts w:hint="eastAsia" w:ascii="宋体" w:hAnsi="宋体"/>
          <w:highlight w:val="none"/>
        </w:rPr>
      </w:pPr>
      <w:r>
        <w:rPr>
          <w:rFonts w:ascii="宋体" w:hAnsi="宋体"/>
          <w:highlight w:val="none"/>
        </w:rPr>
        <w:t>该保密义务在本协议终止后继续有效，但商业秘密性文件资料转为公开后，</w:t>
      </w:r>
      <w:r>
        <w:rPr>
          <w:rFonts w:hint="eastAsia" w:ascii="宋体" w:hAnsi="宋体"/>
          <w:highlight w:val="none"/>
        </w:rPr>
        <w:t>对应的</w:t>
      </w:r>
      <w:r>
        <w:rPr>
          <w:rFonts w:ascii="宋体" w:hAnsi="宋体"/>
          <w:highlight w:val="none"/>
        </w:rPr>
        <w:t>保密义务自动终止。</w:t>
      </w:r>
    </w:p>
    <w:p w14:paraId="712AC409">
      <w:pPr>
        <w:pStyle w:val="12"/>
        <w:tabs>
          <w:tab w:val="left" w:pos="1442"/>
        </w:tabs>
        <w:adjustRightInd w:val="0"/>
        <w:snapToGrid w:val="0"/>
        <w:spacing w:line="500" w:lineRule="exact"/>
        <w:ind w:left="480" w:firstLine="0" w:firstLineChars="0"/>
        <w:rPr>
          <w:rFonts w:hint="eastAsia" w:ascii="宋体" w:hAnsi="宋体"/>
          <w:highlight w:val="none"/>
        </w:rPr>
      </w:pPr>
    </w:p>
    <w:p w14:paraId="76762AE6">
      <w:pPr>
        <w:numPr>
          <w:ilvl w:val="0"/>
          <w:numId w:val="1"/>
        </w:numPr>
        <w:tabs>
          <w:tab w:val="left" w:pos="1442"/>
        </w:tabs>
        <w:adjustRightInd w:val="0"/>
        <w:snapToGrid w:val="0"/>
        <w:spacing w:line="500" w:lineRule="exact"/>
        <w:ind w:left="0" w:firstLine="0"/>
        <w:outlineLvl w:val="0"/>
        <w:rPr>
          <w:rFonts w:hint="eastAsia" w:ascii="宋体" w:hAnsi="宋体"/>
          <w:b/>
          <w:highlight w:val="none"/>
        </w:rPr>
      </w:pPr>
      <w:r>
        <w:rPr>
          <w:rFonts w:ascii="宋体" w:hAnsi="宋体"/>
          <w:b/>
          <w:highlight w:val="none"/>
        </w:rPr>
        <w:t>适用法律与争议解决</w:t>
      </w:r>
    </w:p>
    <w:p w14:paraId="4274653D">
      <w:pPr>
        <w:pStyle w:val="12"/>
        <w:numPr>
          <w:ilvl w:val="0"/>
          <w:numId w:val="28"/>
        </w:numPr>
        <w:tabs>
          <w:tab w:val="left" w:pos="1442"/>
        </w:tabs>
        <w:adjustRightInd w:val="0"/>
        <w:snapToGrid w:val="0"/>
        <w:spacing w:line="500" w:lineRule="exact"/>
        <w:ind w:left="0" w:firstLine="482"/>
        <w:outlineLvl w:val="0"/>
        <w:rPr>
          <w:rFonts w:hint="eastAsia" w:ascii="宋体" w:hAnsi="宋体"/>
          <w:b/>
          <w:highlight w:val="none"/>
        </w:rPr>
      </w:pPr>
      <w:r>
        <w:rPr>
          <w:rFonts w:ascii="宋体" w:hAnsi="宋体"/>
          <w:b/>
          <w:highlight w:val="none"/>
        </w:rPr>
        <w:t>法律适用</w:t>
      </w:r>
    </w:p>
    <w:p w14:paraId="3090490C">
      <w:pPr>
        <w:pStyle w:val="12"/>
        <w:spacing w:line="500" w:lineRule="exact"/>
        <w:ind w:firstLine="480"/>
        <w:rPr>
          <w:rFonts w:hint="eastAsia" w:ascii="宋体" w:hAnsi="宋体"/>
          <w:highlight w:val="none"/>
        </w:rPr>
      </w:pPr>
      <w:r>
        <w:rPr>
          <w:rFonts w:ascii="宋体" w:hAnsi="宋体"/>
          <w:highlight w:val="none"/>
        </w:rPr>
        <w:t>本协议的生效、变更、终止及争议解决均适用中华人民共和国的法律法规（不含香港、澳门及台湾地区的法律法规）。</w:t>
      </w:r>
    </w:p>
    <w:p w14:paraId="7E0E8E82">
      <w:pPr>
        <w:pStyle w:val="12"/>
        <w:numPr>
          <w:ilvl w:val="0"/>
          <w:numId w:val="28"/>
        </w:numPr>
        <w:tabs>
          <w:tab w:val="left" w:pos="1442"/>
        </w:tabs>
        <w:adjustRightInd w:val="0"/>
        <w:snapToGrid w:val="0"/>
        <w:spacing w:line="500" w:lineRule="exact"/>
        <w:ind w:left="0" w:firstLine="482"/>
        <w:outlineLvl w:val="0"/>
        <w:rPr>
          <w:rFonts w:hint="eastAsia" w:ascii="宋体" w:hAnsi="宋体"/>
          <w:b/>
          <w:highlight w:val="none"/>
        </w:rPr>
      </w:pPr>
      <w:r>
        <w:rPr>
          <w:rFonts w:ascii="宋体" w:hAnsi="宋体"/>
          <w:b/>
          <w:highlight w:val="none"/>
        </w:rPr>
        <w:t>争议解决</w:t>
      </w:r>
    </w:p>
    <w:p w14:paraId="37410235">
      <w:pPr>
        <w:pStyle w:val="12"/>
        <w:spacing w:line="500" w:lineRule="exact"/>
        <w:ind w:firstLine="480"/>
        <w:rPr>
          <w:rFonts w:hint="eastAsia" w:ascii="宋体" w:hAnsi="宋体"/>
          <w:highlight w:val="none"/>
        </w:rPr>
      </w:pPr>
      <w:r>
        <w:rPr>
          <w:rFonts w:ascii="宋体" w:hAnsi="宋体"/>
          <w:highlight w:val="none"/>
        </w:rPr>
        <w:t>本协议在履行过程中发生争议的，由双方协商解决，协商不成的，可以向</w:t>
      </w:r>
      <w:r>
        <w:rPr>
          <w:rFonts w:hint="eastAsia" w:ascii="宋体" w:hAnsi="宋体"/>
          <w:highlight w:val="none"/>
        </w:rPr>
        <w:t>加油站物业所在地</w:t>
      </w:r>
      <w:r>
        <w:rPr>
          <w:rFonts w:ascii="宋体" w:hAnsi="宋体"/>
          <w:highlight w:val="none"/>
        </w:rPr>
        <w:t>的人民法院起诉。</w:t>
      </w:r>
    </w:p>
    <w:p w14:paraId="685530D7">
      <w:pPr>
        <w:pStyle w:val="12"/>
        <w:spacing w:line="500" w:lineRule="exact"/>
        <w:ind w:firstLine="480"/>
        <w:rPr>
          <w:rFonts w:hint="eastAsia" w:ascii="宋体" w:hAnsi="宋体"/>
          <w:highlight w:val="none"/>
        </w:rPr>
      </w:pPr>
    </w:p>
    <w:p w14:paraId="67FA9D3E">
      <w:pPr>
        <w:numPr>
          <w:ilvl w:val="0"/>
          <w:numId w:val="1"/>
        </w:numPr>
        <w:tabs>
          <w:tab w:val="left" w:pos="1442"/>
        </w:tabs>
        <w:adjustRightInd w:val="0"/>
        <w:snapToGrid w:val="0"/>
        <w:spacing w:line="500" w:lineRule="exact"/>
        <w:ind w:left="0" w:firstLine="0"/>
        <w:outlineLvl w:val="0"/>
        <w:rPr>
          <w:rFonts w:hint="eastAsia" w:ascii="宋体" w:hAnsi="宋体"/>
          <w:b/>
          <w:highlight w:val="none"/>
        </w:rPr>
      </w:pPr>
      <w:r>
        <w:rPr>
          <w:rFonts w:ascii="宋体" w:hAnsi="宋体"/>
          <w:b/>
          <w:highlight w:val="none"/>
        </w:rPr>
        <w:t>其他约定</w:t>
      </w:r>
    </w:p>
    <w:p w14:paraId="446ABE97">
      <w:pPr>
        <w:pStyle w:val="12"/>
        <w:numPr>
          <w:ilvl w:val="0"/>
          <w:numId w:val="29"/>
        </w:numPr>
        <w:tabs>
          <w:tab w:val="left" w:pos="1442"/>
        </w:tabs>
        <w:adjustRightInd w:val="0"/>
        <w:snapToGrid w:val="0"/>
        <w:spacing w:line="500" w:lineRule="exact"/>
        <w:ind w:left="0" w:firstLine="480"/>
        <w:outlineLvl w:val="0"/>
        <w:rPr>
          <w:rFonts w:hint="eastAsia" w:ascii="宋体" w:hAnsi="宋体"/>
          <w:highlight w:val="none"/>
        </w:rPr>
      </w:pPr>
      <w:r>
        <w:rPr>
          <w:rFonts w:ascii="宋体" w:hAnsi="宋体"/>
          <w:highlight w:val="none"/>
        </w:rPr>
        <w:t>本协议项下</w:t>
      </w:r>
      <w:r>
        <w:rPr>
          <w:rFonts w:hint="eastAsia" w:ascii="宋体" w:hAnsi="宋体"/>
          <w:highlight w:val="none"/>
        </w:rPr>
        <w:t>经营</w:t>
      </w:r>
      <w:r>
        <w:rPr>
          <w:rFonts w:ascii="宋体" w:hAnsi="宋体"/>
          <w:highlight w:val="none"/>
        </w:rPr>
        <w:t>所产生的税费，由双方根据法律规定各自承担。</w:t>
      </w:r>
    </w:p>
    <w:p w14:paraId="40B7A21E">
      <w:pPr>
        <w:pStyle w:val="12"/>
        <w:numPr>
          <w:ilvl w:val="0"/>
          <w:numId w:val="29"/>
        </w:numPr>
        <w:tabs>
          <w:tab w:val="left" w:pos="1442"/>
        </w:tabs>
        <w:adjustRightInd w:val="0"/>
        <w:snapToGrid w:val="0"/>
        <w:spacing w:line="500" w:lineRule="exact"/>
        <w:ind w:left="0" w:firstLine="480"/>
        <w:outlineLvl w:val="0"/>
        <w:rPr>
          <w:rFonts w:hint="eastAsia" w:ascii="宋体" w:hAnsi="宋体"/>
          <w:highlight w:val="none"/>
        </w:rPr>
      </w:pPr>
      <w:r>
        <w:rPr>
          <w:rFonts w:ascii="宋体" w:hAnsi="宋体"/>
          <w:highlight w:val="none"/>
        </w:rPr>
        <w:t>如因发生不可抗力事件，影响一方延迟履行其在本协议项下的义务，则该等延迟履行，不应视为违约。遭受该事件的一方应立即用可能的最快捷的方式通知其他双方，并在十日内提供证明文件说明有关事件的细节和不能履行或部分不能履行或需延迟履行本协议的原因，由双方协商是否延期履行本协议或终止本协议。</w:t>
      </w:r>
    </w:p>
    <w:p w14:paraId="4381DD02">
      <w:pPr>
        <w:pStyle w:val="12"/>
        <w:numPr>
          <w:ilvl w:val="0"/>
          <w:numId w:val="29"/>
        </w:numPr>
        <w:tabs>
          <w:tab w:val="left" w:pos="1442"/>
        </w:tabs>
        <w:adjustRightInd w:val="0"/>
        <w:snapToGrid w:val="0"/>
        <w:spacing w:line="500" w:lineRule="exact"/>
        <w:ind w:left="0" w:firstLine="480"/>
        <w:outlineLvl w:val="0"/>
        <w:rPr>
          <w:rFonts w:hint="eastAsia" w:ascii="宋体" w:hAnsi="宋体"/>
          <w:highlight w:val="none"/>
        </w:rPr>
      </w:pPr>
      <w:r>
        <w:rPr>
          <w:rFonts w:ascii="宋体" w:hAnsi="宋体"/>
          <w:highlight w:val="none"/>
        </w:rPr>
        <w:t>本协议自双方法定代表人或授权代表签字、盖公司公章之日起生效。本协议壹式【</w:t>
      </w:r>
      <w:r>
        <w:rPr>
          <w:rFonts w:hint="eastAsia" w:ascii="宋体" w:hAnsi="宋体"/>
          <w:highlight w:val="none"/>
        </w:rPr>
        <w:t xml:space="preserve">  </w:t>
      </w:r>
      <w:r>
        <w:rPr>
          <w:rFonts w:ascii="宋体" w:hAnsi="宋体"/>
          <w:highlight w:val="none"/>
        </w:rPr>
        <w:t>】份，双方各执【</w:t>
      </w:r>
      <w:r>
        <w:rPr>
          <w:rFonts w:hint="eastAsia" w:ascii="宋体" w:hAnsi="宋体"/>
          <w:highlight w:val="none"/>
        </w:rPr>
        <w:t xml:space="preserve">  </w:t>
      </w:r>
      <w:r>
        <w:rPr>
          <w:rFonts w:ascii="宋体" w:hAnsi="宋体"/>
          <w:highlight w:val="none"/>
        </w:rPr>
        <w:t>】份，均具有同等法律效力。</w:t>
      </w:r>
    </w:p>
    <w:p w14:paraId="13AF8B5E">
      <w:pPr>
        <w:pStyle w:val="12"/>
        <w:numPr>
          <w:ilvl w:val="0"/>
          <w:numId w:val="29"/>
        </w:numPr>
        <w:tabs>
          <w:tab w:val="left" w:pos="1442"/>
        </w:tabs>
        <w:adjustRightInd w:val="0"/>
        <w:snapToGrid w:val="0"/>
        <w:spacing w:line="500" w:lineRule="exact"/>
        <w:ind w:left="0" w:firstLine="480"/>
        <w:outlineLvl w:val="0"/>
        <w:rPr>
          <w:rFonts w:hint="eastAsia" w:ascii="宋体" w:hAnsi="宋体"/>
          <w:highlight w:val="none"/>
        </w:rPr>
      </w:pPr>
      <w:r>
        <w:rPr>
          <w:rFonts w:hint="eastAsia" w:ascii="宋体" w:hAnsi="宋体"/>
          <w:highlight w:val="none"/>
        </w:rPr>
        <w:t>本协议附件是本协议组成部分与本协议具有同等法律效力，包括：</w:t>
      </w:r>
    </w:p>
    <w:p w14:paraId="03DFDF0F">
      <w:pPr>
        <w:pStyle w:val="12"/>
        <w:tabs>
          <w:tab w:val="left" w:pos="1442"/>
        </w:tabs>
        <w:adjustRightInd w:val="0"/>
        <w:snapToGrid w:val="0"/>
        <w:spacing w:line="500" w:lineRule="exact"/>
        <w:ind w:left="480" w:firstLine="0" w:firstLineChars="0"/>
        <w:outlineLvl w:val="0"/>
        <w:rPr>
          <w:rFonts w:hint="eastAsia" w:ascii="宋体" w:hAnsi="宋体"/>
          <w:highlight w:val="none"/>
        </w:rPr>
      </w:pPr>
      <w:r>
        <w:rPr>
          <w:rFonts w:hint="eastAsia" w:ascii="宋体" w:hAnsi="宋体"/>
          <w:highlight w:val="none"/>
        </w:rPr>
        <w:t>附件</w:t>
      </w:r>
      <w:r>
        <w:rPr>
          <w:rFonts w:ascii="宋体" w:hAnsi="宋体"/>
          <w:highlight w:val="none"/>
        </w:rPr>
        <w:t>1</w:t>
      </w:r>
      <w:r>
        <w:rPr>
          <w:rFonts w:hint="eastAsia" w:ascii="宋体" w:hAnsi="宋体"/>
          <w:highlight w:val="none"/>
        </w:rPr>
        <w:t>：《连带责任保证函》；</w:t>
      </w:r>
      <w:r>
        <w:rPr>
          <w:rFonts w:ascii="宋体" w:hAnsi="宋体"/>
          <w:highlight w:val="none"/>
        </w:rPr>
        <w:t xml:space="preserve"> </w:t>
      </w:r>
    </w:p>
    <w:p w14:paraId="14AAF3E6">
      <w:pPr>
        <w:pStyle w:val="12"/>
        <w:tabs>
          <w:tab w:val="left" w:pos="1442"/>
        </w:tabs>
        <w:adjustRightInd w:val="0"/>
        <w:snapToGrid w:val="0"/>
        <w:spacing w:line="500" w:lineRule="exact"/>
        <w:ind w:left="480" w:firstLine="0" w:firstLineChars="0"/>
        <w:outlineLvl w:val="0"/>
        <w:rPr>
          <w:rFonts w:hint="eastAsia" w:ascii="宋体" w:hAnsi="宋体"/>
          <w:highlight w:val="none"/>
        </w:rPr>
      </w:pPr>
      <w:r>
        <w:rPr>
          <w:rFonts w:hint="eastAsia" w:ascii="宋体" w:hAnsi="宋体"/>
          <w:highlight w:val="none"/>
        </w:rPr>
        <w:t>附件</w:t>
      </w:r>
      <w:r>
        <w:rPr>
          <w:rFonts w:ascii="宋体" w:hAnsi="宋体"/>
          <w:highlight w:val="none"/>
        </w:rPr>
        <w:t>2</w:t>
      </w:r>
      <w:r>
        <w:rPr>
          <w:rFonts w:hint="eastAsia" w:ascii="宋体" w:hAnsi="宋体"/>
          <w:highlight w:val="none"/>
        </w:rPr>
        <w:t>：《乙方进销油品的银行账户以及银行征信信息》</w:t>
      </w:r>
    </w:p>
    <w:p w14:paraId="602CFE3D">
      <w:pPr>
        <w:adjustRightInd w:val="0"/>
        <w:snapToGrid w:val="0"/>
        <w:spacing w:line="500" w:lineRule="exact"/>
        <w:rPr>
          <w:rFonts w:hint="eastAsia" w:ascii="宋体" w:hAnsi="宋体"/>
          <w:highlight w:val="none"/>
        </w:rPr>
      </w:pPr>
      <w:r>
        <w:rPr>
          <w:rFonts w:ascii="宋体" w:hAnsi="宋体"/>
          <w:highlight w:val="none"/>
        </w:rPr>
        <w:t>（以下无正文）</w:t>
      </w:r>
    </w:p>
    <w:p w14:paraId="76440018">
      <w:pPr>
        <w:adjustRightInd w:val="0"/>
        <w:snapToGrid w:val="0"/>
        <w:spacing w:line="500" w:lineRule="exact"/>
        <w:rPr>
          <w:rFonts w:hint="eastAsia" w:ascii="宋体" w:hAnsi="宋体"/>
          <w:highlight w:val="none"/>
        </w:rPr>
      </w:pPr>
    </w:p>
    <w:p w14:paraId="4E5DE32E">
      <w:pPr>
        <w:pStyle w:val="17"/>
        <w:widowControl/>
        <w:spacing w:line="500" w:lineRule="exact"/>
        <w:rPr>
          <w:rFonts w:hint="eastAsia" w:ascii="宋体" w:hAnsi="宋体" w:cs="宋体"/>
          <w:sz w:val="24"/>
          <w:highlight w:val="none"/>
        </w:rPr>
      </w:pPr>
      <w:r>
        <w:rPr>
          <w:rFonts w:hint="eastAsia" w:ascii="宋体" w:hAnsi="宋体" w:cs="宋体"/>
          <w:sz w:val="24"/>
          <w:highlight w:val="none"/>
        </w:rPr>
        <w:t xml:space="preserve">甲方（盖章）： </w:t>
      </w:r>
    </w:p>
    <w:p w14:paraId="6759C3BB">
      <w:pPr>
        <w:pStyle w:val="17"/>
        <w:widowControl/>
        <w:spacing w:line="500" w:lineRule="exact"/>
        <w:rPr>
          <w:rFonts w:hint="eastAsia" w:ascii="宋体" w:hAnsi="宋体" w:cs="宋体"/>
          <w:sz w:val="24"/>
          <w:highlight w:val="none"/>
        </w:rPr>
      </w:pPr>
      <w:r>
        <w:rPr>
          <w:rFonts w:hint="eastAsia" w:ascii="宋体" w:hAnsi="宋体" w:cs="宋体"/>
          <w:sz w:val="24"/>
          <w:highlight w:val="none"/>
        </w:rPr>
        <w:t>法定代表人或授权代理人：</w:t>
      </w:r>
    </w:p>
    <w:p w14:paraId="11BFBDFB">
      <w:pPr>
        <w:spacing w:line="500" w:lineRule="exact"/>
        <w:rPr>
          <w:rFonts w:hint="eastAsia" w:ascii="宋体" w:hAnsi="宋体"/>
          <w:highlight w:val="none"/>
        </w:rPr>
      </w:pPr>
      <w:r>
        <w:rPr>
          <w:rFonts w:hint="eastAsia" w:ascii="宋体" w:hAnsi="宋体" w:cs="宋体"/>
          <w:highlight w:val="none"/>
        </w:rPr>
        <w:t>二○二五年</w:t>
      </w:r>
      <w:r>
        <w:rPr>
          <w:rFonts w:ascii="宋体" w:hAnsi="宋体" w:cs="宋体"/>
          <w:highlight w:val="none"/>
        </w:rPr>
        <w:t xml:space="preserve">   </w:t>
      </w:r>
      <w:r>
        <w:rPr>
          <w:rFonts w:hint="eastAsia" w:ascii="宋体" w:hAnsi="宋体" w:cs="宋体"/>
          <w:highlight w:val="none"/>
        </w:rPr>
        <w:t>月</w:t>
      </w:r>
      <w:r>
        <w:rPr>
          <w:rFonts w:ascii="宋体" w:hAnsi="宋体" w:cs="宋体"/>
          <w:highlight w:val="none"/>
        </w:rPr>
        <w:t xml:space="preserve">   </w:t>
      </w:r>
      <w:r>
        <w:rPr>
          <w:rFonts w:hint="eastAsia" w:ascii="宋体" w:hAnsi="宋体" w:cs="黑体"/>
          <w:highlight w:val="none"/>
        </w:rPr>
        <w:t xml:space="preserve"> </w:t>
      </w:r>
      <w:r>
        <w:rPr>
          <w:rFonts w:hint="eastAsia" w:ascii="宋体" w:hAnsi="宋体" w:cs="宋体"/>
          <w:highlight w:val="none"/>
        </w:rPr>
        <w:t>日</w:t>
      </w:r>
    </w:p>
    <w:p w14:paraId="4A0F346A">
      <w:pPr>
        <w:pStyle w:val="17"/>
        <w:widowControl/>
        <w:spacing w:line="500" w:lineRule="exact"/>
        <w:rPr>
          <w:rFonts w:hint="eastAsia" w:ascii="宋体" w:hAnsi="宋体" w:cs="宋体"/>
          <w:sz w:val="24"/>
          <w:highlight w:val="none"/>
        </w:rPr>
      </w:pPr>
    </w:p>
    <w:p w14:paraId="2E68CD5E">
      <w:pPr>
        <w:pStyle w:val="17"/>
        <w:widowControl/>
        <w:spacing w:line="500" w:lineRule="exact"/>
        <w:rPr>
          <w:rFonts w:hint="eastAsia" w:ascii="宋体" w:hAnsi="宋体" w:cs="宋体"/>
          <w:sz w:val="24"/>
          <w:highlight w:val="none"/>
        </w:rPr>
      </w:pPr>
      <w:r>
        <w:rPr>
          <w:rFonts w:hint="eastAsia" w:ascii="宋体" w:hAnsi="宋体" w:cs="宋体"/>
          <w:sz w:val="24"/>
          <w:highlight w:val="none"/>
        </w:rPr>
        <w:t xml:space="preserve">乙方（盖章）： </w:t>
      </w:r>
    </w:p>
    <w:p w14:paraId="29079C84">
      <w:pPr>
        <w:pStyle w:val="17"/>
        <w:widowControl/>
        <w:spacing w:line="500" w:lineRule="exact"/>
        <w:rPr>
          <w:rFonts w:hint="eastAsia" w:ascii="宋体" w:hAnsi="宋体" w:cs="宋体"/>
          <w:sz w:val="24"/>
          <w:highlight w:val="none"/>
        </w:rPr>
      </w:pPr>
      <w:r>
        <w:rPr>
          <w:rFonts w:hint="eastAsia" w:ascii="宋体" w:hAnsi="宋体" w:cs="宋体"/>
          <w:sz w:val="24"/>
          <w:highlight w:val="none"/>
        </w:rPr>
        <w:t>法定代表人或授权代理人：</w:t>
      </w:r>
    </w:p>
    <w:p w14:paraId="15954016">
      <w:pPr>
        <w:spacing w:line="500" w:lineRule="exact"/>
        <w:rPr>
          <w:rFonts w:hint="eastAsia" w:ascii="宋体" w:hAnsi="宋体"/>
          <w:highlight w:val="none"/>
        </w:rPr>
      </w:pPr>
      <w:r>
        <w:rPr>
          <w:rFonts w:hint="eastAsia" w:ascii="宋体" w:hAnsi="宋体" w:cs="宋体"/>
          <w:highlight w:val="none"/>
        </w:rPr>
        <w:t>二○二五年</w:t>
      </w:r>
      <w:r>
        <w:rPr>
          <w:rFonts w:ascii="宋体" w:hAnsi="宋体" w:cs="宋体"/>
          <w:highlight w:val="none"/>
        </w:rPr>
        <w:t xml:space="preserve">   </w:t>
      </w:r>
      <w:r>
        <w:rPr>
          <w:rFonts w:hint="eastAsia" w:ascii="宋体" w:hAnsi="宋体" w:cs="宋体"/>
          <w:highlight w:val="none"/>
        </w:rPr>
        <w:t>月</w:t>
      </w:r>
      <w:r>
        <w:rPr>
          <w:rFonts w:ascii="宋体" w:hAnsi="宋体" w:cs="宋体"/>
          <w:highlight w:val="none"/>
        </w:rPr>
        <w:t xml:space="preserve">   </w:t>
      </w:r>
      <w:r>
        <w:rPr>
          <w:rFonts w:hint="eastAsia" w:ascii="宋体" w:hAnsi="宋体" w:cs="黑体"/>
          <w:highlight w:val="none"/>
        </w:rPr>
        <w:t xml:space="preserve"> </w:t>
      </w:r>
      <w:r>
        <w:rPr>
          <w:rFonts w:hint="eastAsia" w:ascii="宋体" w:hAnsi="宋体" w:cs="宋体"/>
          <w:highlight w:val="none"/>
        </w:rPr>
        <w:t>日</w:t>
      </w:r>
    </w:p>
    <w:sectPr>
      <w:footerReference r:id="rId3"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等线">
    <w:panose1 w:val="02010600030101010101"/>
    <w:charset w:val="86"/>
    <w:family w:val="auto"/>
    <w:pitch w:val="default"/>
    <w:sig w:usb0="A00002BF" w:usb1="38CF7CFA" w:usb2="00000016" w:usb3="00000000" w:csb0="0004000F" w:csb1="00000000"/>
  </w:font>
  <w:font w:name="楷体">
    <w:panose1 w:val="02010609060101010101"/>
    <w:charset w:val="86"/>
    <w:family w:val="modern"/>
    <w:pitch w:val="default"/>
    <w:sig w:usb0="800002BF" w:usb1="38CF7CFA" w:usb2="00000016" w:usb3="00000000" w:csb0="00040001" w:csb1="00000000"/>
  </w:font>
  <w:font w:name="Arial">
    <w:panose1 w:val="020B0604020202020204"/>
    <w:charset w:val="00"/>
    <w:family w:val="swiss"/>
    <w:pitch w:val="default"/>
    <w:sig w:usb0="E0002EFF" w:usb1="C000785B" w:usb2="00000009" w:usb3="00000000" w:csb0="400001FF" w:csb1="FFFF0000"/>
  </w:font>
  <w:font w:name="Cambria Math">
    <w:panose1 w:val="02040503050406030204"/>
    <w:charset w:val="00"/>
    <w:family w:val="roman"/>
    <w:pitch w:val="default"/>
    <w:sig w:usb0="E00006FF" w:usb1="420024FF" w:usb2="02000000" w:usb3="00000000" w:csb0="2000019F" w:csb1="00000000"/>
  </w:font>
  <w:font w:name="微软雅黑">
    <w:panose1 w:val="020B0503020204020204"/>
    <w:charset w:val="86"/>
    <w:family w:val="auto"/>
    <w:pitch w:val="default"/>
    <w:sig w:usb0="80000287" w:usb1="2ACF3C50" w:usb2="00000016" w:usb3="00000000" w:csb0="0004001F" w:csb1="00000000"/>
  </w:font>
  <w:font w:name="MS PGothic">
    <w:panose1 w:val="020B0600070205080204"/>
    <w:charset w:val="80"/>
    <w:family w:val="auto"/>
    <w:pitch w:val="default"/>
    <w:sig w:usb0="E00002FF" w:usb1="6AC7FDFB" w:usb2="08000012" w:usb3="00000000" w:csb0="4002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44B4505">
    <w:pPr>
      <w:pStyle w:val="4"/>
      <w:rPr>
        <w:rFonts w:hint="eastAsia"/>
      </w:rPr>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3054F62">
                          <w:pPr>
                            <w:pStyle w:val="4"/>
                            <w:rPr>
                              <w:rFonts w:hint="eastAsia"/>
                            </w:rPr>
                          </w:pPr>
                          <w:r>
                            <w:t xml:space="preserve">第 </w:t>
                          </w:r>
                          <w:r>
                            <w:fldChar w:fldCharType="begin"/>
                          </w:r>
                          <w:r>
                            <w:instrText xml:space="preserve"> PAGE  \* MERGEFORMAT </w:instrText>
                          </w:r>
                          <w:r>
                            <w:fldChar w:fldCharType="separate"/>
                          </w:r>
                          <w:r>
                            <w:t>4</w:t>
                          </w:r>
                          <w:r>
                            <w:fldChar w:fldCharType="end"/>
                          </w:r>
                          <w:r>
                            <w:t xml:space="preserve"> 页 共 </w:t>
                          </w:r>
                          <w:r>
                            <w:fldChar w:fldCharType="begin"/>
                          </w:r>
                          <w:r>
                            <w:instrText xml:space="preserve"> NUMPAGES  \* MERGEFORMAT </w:instrText>
                          </w:r>
                          <w:r>
                            <w:fldChar w:fldCharType="separate"/>
                          </w:r>
                          <w:r>
                            <w:t>19</w:t>
                          </w:r>
                          <w:r>
                            <w:fldChar w:fldCharType="end"/>
                          </w:r>
                          <w:r>
                            <w:t xml:space="preserve"> 页</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zXDnwqAgAAV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CLNmWdjqneUROirm&#10;7eoYIGCnaxSlV2LQCtPWdWZ4GXGc/9x3UY9/g+Vv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AAAAAGRycy9QSwECFAAUAAAACACHTuJAs0lY&#10;7tAAAAAFAQAADwAAAAAAAAABACAAAAAiAAAAZHJzL2Rvd25yZXYueG1sUEsBAhQAFAAAAAgAh07i&#10;QIzXDnwqAgAAVQQAAA4AAAAAAAAAAQAgAAAAHwEAAGRycy9lMm9Eb2MueG1sUEsFBgAAAAAGAAYA&#10;WQEAALsFAAAAAA==&#10;">
              <v:fill on="f" focussize="0,0"/>
              <v:stroke on="f" weight="0.5pt"/>
              <v:imagedata o:title=""/>
              <o:lock v:ext="edit" aspectratio="f"/>
              <v:textbox inset="0mm,0mm,0mm,0mm" style="mso-fit-shape-to-text:t;">
                <w:txbxContent>
                  <w:p w14:paraId="33054F62">
                    <w:pPr>
                      <w:pStyle w:val="4"/>
                      <w:rPr>
                        <w:rFonts w:hint="eastAsia"/>
                      </w:rPr>
                    </w:pPr>
                    <w:r>
                      <w:t xml:space="preserve">第 </w:t>
                    </w:r>
                    <w:r>
                      <w:fldChar w:fldCharType="begin"/>
                    </w:r>
                    <w:r>
                      <w:instrText xml:space="preserve"> PAGE  \* MERGEFORMAT </w:instrText>
                    </w:r>
                    <w:r>
                      <w:fldChar w:fldCharType="separate"/>
                    </w:r>
                    <w:r>
                      <w:t>4</w:t>
                    </w:r>
                    <w:r>
                      <w:fldChar w:fldCharType="end"/>
                    </w:r>
                    <w:r>
                      <w:t xml:space="preserve"> 页 共 </w:t>
                    </w:r>
                    <w:r>
                      <w:fldChar w:fldCharType="begin"/>
                    </w:r>
                    <w:r>
                      <w:instrText xml:space="preserve"> NUMPAGES  \* MERGEFORMAT </w:instrText>
                    </w:r>
                    <w:r>
                      <w:fldChar w:fldCharType="separate"/>
                    </w:r>
                    <w:r>
                      <w:t>19</w:t>
                    </w:r>
                    <w:r>
                      <w:fldChar w:fldCharType="end"/>
                    </w:r>
                    <w:r>
                      <w:t xml:space="preserve"> 页</w:t>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2B8733F"/>
    <w:multiLevelType w:val="singleLevel"/>
    <w:tmpl w:val="92B8733F"/>
    <w:lvl w:ilvl="0" w:tentative="0">
      <w:start w:val="1"/>
      <w:numFmt w:val="decimalEnclosedCircleChinese"/>
      <w:suff w:val="nothing"/>
      <w:lvlText w:val="%1　"/>
      <w:lvlJc w:val="left"/>
      <w:pPr>
        <w:ind w:left="0" w:firstLine="400"/>
      </w:pPr>
      <w:rPr>
        <w:rFonts w:hint="eastAsia"/>
      </w:rPr>
    </w:lvl>
  </w:abstractNum>
  <w:abstractNum w:abstractNumId="1">
    <w:nsid w:val="A5374E76"/>
    <w:multiLevelType w:val="singleLevel"/>
    <w:tmpl w:val="A5374E76"/>
    <w:lvl w:ilvl="0" w:tentative="0">
      <w:start w:val="1"/>
      <w:numFmt w:val="decimalEnclosedCircleChinese"/>
      <w:suff w:val="nothing"/>
      <w:lvlText w:val="%1　"/>
      <w:lvlJc w:val="left"/>
      <w:pPr>
        <w:ind w:left="0" w:firstLine="400"/>
      </w:pPr>
      <w:rPr>
        <w:rFonts w:hint="eastAsia"/>
      </w:rPr>
    </w:lvl>
  </w:abstractNum>
  <w:abstractNum w:abstractNumId="2">
    <w:nsid w:val="A7C3E69B"/>
    <w:multiLevelType w:val="singleLevel"/>
    <w:tmpl w:val="A7C3E69B"/>
    <w:lvl w:ilvl="0" w:tentative="0">
      <w:start w:val="1"/>
      <w:numFmt w:val="decimalEnclosedCircleChinese"/>
      <w:suff w:val="nothing"/>
      <w:lvlText w:val="%1　"/>
      <w:lvlJc w:val="left"/>
      <w:pPr>
        <w:ind w:left="0" w:firstLine="400"/>
      </w:pPr>
      <w:rPr>
        <w:rFonts w:hint="eastAsia"/>
      </w:rPr>
    </w:lvl>
  </w:abstractNum>
  <w:abstractNum w:abstractNumId="3">
    <w:nsid w:val="D62FC676"/>
    <w:multiLevelType w:val="singleLevel"/>
    <w:tmpl w:val="D62FC676"/>
    <w:lvl w:ilvl="0" w:tentative="0">
      <w:start w:val="1"/>
      <w:numFmt w:val="decimalEnclosedCircleChinese"/>
      <w:suff w:val="nothing"/>
      <w:lvlText w:val="%1　"/>
      <w:lvlJc w:val="left"/>
      <w:pPr>
        <w:ind w:left="0" w:firstLine="400"/>
      </w:pPr>
      <w:rPr>
        <w:rFonts w:hint="eastAsia"/>
      </w:rPr>
    </w:lvl>
  </w:abstractNum>
  <w:abstractNum w:abstractNumId="4">
    <w:nsid w:val="01012031"/>
    <w:multiLevelType w:val="multilevel"/>
    <w:tmpl w:val="01012031"/>
    <w:lvl w:ilvl="0" w:tentative="0">
      <w:start w:val="1"/>
      <w:numFmt w:val="chineseCountingThousand"/>
      <w:lvlText w:val="第%1条."/>
      <w:lvlJc w:val="left"/>
      <w:pPr>
        <w:ind w:left="2977" w:hanging="425"/>
      </w:pPr>
      <w:rPr>
        <w:rFonts w:hint="eastAsia" w:ascii="宋体" w:hAnsi="宋体" w:eastAsia="宋体"/>
        <w:b/>
      </w:rPr>
    </w:lvl>
    <w:lvl w:ilvl="1" w:tentative="0">
      <w:start w:val="1"/>
      <w:numFmt w:val="decimal"/>
      <w:isLgl/>
      <w:lvlText w:val="%1.%2"/>
      <w:lvlJc w:val="left"/>
      <w:pPr>
        <w:ind w:left="-2835" w:hanging="567"/>
      </w:pPr>
      <w:rPr>
        <w:rFonts w:hint="default" w:ascii="Times New Roman" w:hAnsi="Times New Roman" w:cs="Times New Roman"/>
        <w:b w:val="0"/>
        <w:i w:val="0"/>
        <w:color w:val="auto"/>
      </w:rPr>
    </w:lvl>
    <w:lvl w:ilvl="2" w:tentative="0">
      <w:start w:val="1"/>
      <w:numFmt w:val="decimal"/>
      <w:isLgl/>
      <w:lvlText w:val="%1.%2.%3"/>
      <w:lvlJc w:val="left"/>
      <w:pPr>
        <w:ind w:left="-2835" w:hanging="567"/>
      </w:pPr>
      <w:rPr>
        <w:rFonts w:hint="default" w:ascii="Times New Roman" w:hAnsi="Times New Roman" w:cs="Times New Roman"/>
        <w:b w:val="0"/>
        <w:color w:val="auto"/>
      </w:rPr>
    </w:lvl>
    <w:lvl w:ilvl="3" w:tentative="0">
      <w:start w:val="1"/>
      <w:numFmt w:val="decimal"/>
      <w:lvlText w:val="（%4）"/>
      <w:lvlJc w:val="left"/>
      <w:pPr>
        <w:ind w:left="1701" w:hanging="708"/>
      </w:pPr>
      <w:rPr>
        <w:rFonts w:hint="eastAsia" w:ascii="宋体" w:hAnsi="宋体" w:eastAsia="宋体"/>
        <w:lang w:val="en-US"/>
      </w:rPr>
    </w:lvl>
    <w:lvl w:ilvl="4" w:tentative="0">
      <w:start w:val="1"/>
      <w:numFmt w:val="lowerLetter"/>
      <w:lvlText w:val="（%5）"/>
      <w:lvlJc w:val="left"/>
      <w:pPr>
        <w:ind w:left="567" w:hanging="850"/>
      </w:pPr>
      <w:rPr>
        <w:rFonts w:hint="eastAsia"/>
      </w:rPr>
    </w:lvl>
    <w:lvl w:ilvl="5" w:tentative="0">
      <w:start w:val="1"/>
      <w:numFmt w:val="lowerRoman"/>
      <w:lvlText w:val="（%6）"/>
      <w:lvlJc w:val="left"/>
      <w:pPr>
        <w:ind w:left="2977" w:hanging="1134"/>
      </w:pPr>
      <w:rPr>
        <w:rFonts w:hint="eastAsia"/>
      </w:rPr>
    </w:lvl>
    <w:lvl w:ilvl="6" w:tentative="0">
      <w:start w:val="1"/>
      <w:numFmt w:val="decimal"/>
      <w:lvlText w:val="%1.%2.%3.%4.%5.%6.%7"/>
      <w:lvlJc w:val="left"/>
      <w:pPr>
        <w:ind w:left="3544" w:hanging="1276"/>
      </w:pPr>
      <w:rPr>
        <w:rFonts w:hint="eastAsia"/>
      </w:rPr>
    </w:lvl>
    <w:lvl w:ilvl="7" w:tentative="0">
      <w:start w:val="1"/>
      <w:numFmt w:val="decimal"/>
      <w:lvlText w:val="%1.%2.%3.%4.%5.%6.%7.%8"/>
      <w:lvlJc w:val="left"/>
      <w:pPr>
        <w:ind w:left="4111" w:hanging="1418"/>
      </w:pPr>
      <w:rPr>
        <w:rFonts w:hint="eastAsia"/>
      </w:rPr>
    </w:lvl>
    <w:lvl w:ilvl="8" w:tentative="0">
      <w:start w:val="1"/>
      <w:numFmt w:val="decimal"/>
      <w:lvlText w:val="%1.%2.%3.%4.%5.%6.%7.%8.%9"/>
      <w:lvlJc w:val="left"/>
      <w:pPr>
        <w:ind w:left="4819" w:hanging="1700"/>
      </w:pPr>
      <w:rPr>
        <w:rFonts w:hint="eastAsia"/>
      </w:rPr>
    </w:lvl>
  </w:abstractNum>
  <w:abstractNum w:abstractNumId="5">
    <w:nsid w:val="014137F4"/>
    <w:multiLevelType w:val="multilevel"/>
    <w:tmpl w:val="014137F4"/>
    <w:lvl w:ilvl="0" w:tentative="0">
      <w:start w:val="1"/>
      <w:numFmt w:val="japaneseCounting"/>
      <w:lvlText w:val="（%1）"/>
      <w:lvlJc w:val="left"/>
      <w:pPr>
        <w:ind w:left="765" w:hanging="765"/>
      </w:pPr>
      <w:rPr>
        <w:rFonts w:hint="default"/>
        <w:b w:val="0"/>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6">
    <w:nsid w:val="0581675A"/>
    <w:multiLevelType w:val="multilevel"/>
    <w:tmpl w:val="0581675A"/>
    <w:lvl w:ilvl="0" w:tentative="0">
      <w:start w:val="1"/>
      <w:numFmt w:val="decimal"/>
      <w:lvlText w:val="（%1）"/>
      <w:lvlJc w:val="left"/>
      <w:pPr>
        <w:ind w:left="1200" w:hanging="720"/>
      </w:pPr>
      <w:rPr>
        <w:rFonts w:hint="default"/>
      </w:rPr>
    </w:lvl>
    <w:lvl w:ilvl="1" w:tentative="0">
      <w:start w:val="1"/>
      <w:numFmt w:val="lowerLetter"/>
      <w:lvlText w:val="%2)"/>
      <w:lvlJc w:val="left"/>
      <w:pPr>
        <w:ind w:left="1320" w:hanging="420"/>
      </w:pPr>
    </w:lvl>
    <w:lvl w:ilvl="2" w:tentative="0">
      <w:start w:val="1"/>
      <w:numFmt w:val="lowerRoman"/>
      <w:lvlText w:val="%3."/>
      <w:lvlJc w:val="right"/>
      <w:pPr>
        <w:ind w:left="1740" w:hanging="420"/>
      </w:pPr>
    </w:lvl>
    <w:lvl w:ilvl="3" w:tentative="0">
      <w:start w:val="1"/>
      <w:numFmt w:val="decimal"/>
      <w:lvlText w:val="%4."/>
      <w:lvlJc w:val="left"/>
      <w:pPr>
        <w:ind w:left="2160" w:hanging="420"/>
      </w:pPr>
    </w:lvl>
    <w:lvl w:ilvl="4" w:tentative="0">
      <w:start w:val="1"/>
      <w:numFmt w:val="lowerLetter"/>
      <w:lvlText w:val="%5)"/>
      <w:lvlJc w:val="left"/>
      <w:pPr>
        <w:ind w:left="2580" w:hanging="420"/>
      </w:pPr>
    </w:lvl>
    <w:lvl w:ilvl="5" w:tentative="0">
      <w:start w:val="1"/>
      <w:numFmt w:val="lowerRoman"/>
      <w:lvlText w:val="%6."/>
      <w:lvlJc w:val="right"/>
      <w:pPr>
        <w:ind w:left="3000" w:hanging="420"/>
      </w:pPr>
    </w:lvl>
    <w:lvl w:ilvl="6" w:tentative="0">
      <w:start w:val="1"/>
      <w:numFmt w:val="decimal"/>
      <w:lvlText w:val="%7."/>
      <w:lvlJc w:val="left"/>
      <w:pPr>
        <w:ind w:left="3420" w:hanging="420"/>
      </w:pPr>
    </w:lvl>
    <w:lvl w:ilvl="7" w:tentative="0">
      <w:start w:val="1"/>
      <w:numFmt w:val="lowerLetter"/>
      <w:lvlText w:val="%8)"/>
      <w:lvlJc w:val="left"/>
      <w:pPr>
        <w:ind w:left="3840" w:hanging="420"/>
      </w:pPr>
    </w:lvl>
    <w:lvl w:ilvl="8" w:tentative="0">
      <w:start w:val="1"/>
      <w:numFmt w:val="lowerRoman"/>
      <w:lvlText w:val="%9."/>
      <w:lvlJc w:val="right"/>
      <w:pPr>
        <w:ind w:left="4260" w:hanging="420"/>
      </w:pPr>
    </w:lvl>
  </w:abstractNum>
  <w:abstractNum w:abstractNumId="7">
    <w:nsid w:val="140242CA"/>
    <w:multiLevelType w:val="multilevel"/>
    <w:tmpl w:val="140242CA"/>
    <w:lvl w:ilvl="0" w:tentative="0">
      <w:start w:val="1"/>
      <w:numFmt w:val="decimal"/>
      <w:lvlText w:val="%1."/>
      <w:lvlJc w:val="left"/>
      <w:pPr>
        <w:ind w:left="840" w:hanging="360"/>
      </w:pPr>
      <w:rPr>
        <w:rFonts w:hint="default"/>
        <w:b w:val="0"/>
      </w:rPr>
    </w:lvl>
    <w:lvl w:ilvl="1" w:tentative="0">
      <w:start w:val="1"/>
      <w:numFmt w:val="lowerLetter"/>
      <w:lvlText w:val="%2)"/>
      <w:lvlJc w:val="left"/>
      <w:pPr>
        <w:ind w:left="1320" w:hanging="420"/>
      </w:pPr>
    </w:lvl>
    <w:lvl w:ilvl="2" w:tentative="0">
      <w:start w:val="1"/>
      <w:numFmt w:val="lowerRoman"/>
      <w:lvlText w:val="%3."/>
      <w:lvlJc w:val="right"/>
      <w:pPr>
        <w:ind w:left="1740" w:hanging="420"/>
      </w:pPr>
    </w:lvl>
    <w:lvl w:ilvl="3" w:tentative="0">
      <w:start w:val="1"/>
      <w:numFmt w:val="decimal"/>
      <w:lvlText w:val="%4."/>
      <w:lvlJc w:val="left"/>
      <w:pPr>
        <w:ind w:left="2160" w:hanging="420"/>
      </w:pPr>
    </w:lvl>
    <w:lvl w:ilvl="4" w:tentative="0">
      <w:start w:val="1"/>
      <w:numFmt w:val="lowerLetter"/>
      <w:lvlText w:val="%5)"/>
      <w:lvlJc w:val="left"/>
      <w:pPr>
        <w:ind w:left="2580" w:hanging="420"/>
      </w:pPr>
    </w:lvl>
    <w:lvl w:ilvl="5" w:tentative="0">
      <w:start w:val="1"/>
      <w:numFmt w:val="lowerRoman"/>
      <w:lvlText w:val="%6."/>
      <w:lvlJc w:val="right"/>
      <w:pPr>
        <w:ind w:left="3000" w:hanging="420"/>
      </w:pPr>
    </w:lvl>
    <w:lvl w:ilvl="6" w:tentative="0">
      <w:start w:val="1"/>
      <w:numFmt w:val="decimal"/>
      <w:lvlText w:val="%7."/>
      <w:lvlJc w:val="left"/>
      <w:pPr>
        <w:ind w:left="3420" w:hanging="420"/>
      </w:pPr>
    </w:lvl>
    <w:lvl w:ilvl="7" w:tentative="0">
      <w:start w:val="1"/>
      <w:numFmt w:val="lowerLetter"/>
      <w:lvlText w:val="%8)"/>
      <w:lvlJc w:val="left"/>
      <w:pPr>
        <w:ind w:left="3840" w:hanging="420"/>
      </w:pPr>
    </w:lvl>
    <w:lvl w:ilvl="8" w:tentative="0">
      <w:start w:val="1"/>
      <w:numFmt w:val="lowerRoman"/>
      <w:lvlText w:val="%9."/>
      <w:lvlJc w:val="right"/>
      <w:pPr>
        <w:ind w:left="4260" w:hanging="420"/>
      </w:pPr>
    </w:lvl>
  </w:abstractNum>
  <w:abstractNum w:abstractNumId="8">
    <w:nsid w:val="14CB6D3D"/>
    <w:multiLevelType w:val="multilevel"/>
    <w:tmpl w:val="14CB6D3D"/>
    <w:lvl w:ilvl="0" w:tentative="0">
      <w:start w:val="1"/>
      <w:numFmt w:val="japaneseCounting"/>
      <w:lvlText w:val="（%1）"/>
      <w:lvlJc w:val="left"/>
      <w:pPr>
        <w:ind w:left="1200" w:hanging="720"/>
      </w:pPr>
      <w:rPr>
        <w:rFonts w:hint="default"/>
        <w:b w:val="0"/>
        <w:lang w:val="en-US"/>
      </w:rPr>
    </w:lvl>
    <w:lvl w:ilvl="1" w:tentative="0">
      <w:start w:val="1"/>
      <w:numFmt w:val="lowerLetter"/>
      <w:lvlText w:val="%2)"/>
      <w:lvlJc w:val="left"/>
      <w:pPr>
        <w:ind w:left="1320" w:hanging="420"/>
      </w:pPr>
    </w:lvl>
    <w:lvl w:ilvl="2" w:tentative="0">
      <w:start w:val="1"/>
      <w:numFmt w:val="lowerRoman"/>
      <w:lvlText w:val="%3."/>
      <w:lvlJc w:val="right"/>
      <w:pPr>
        <w:ind w:left="1740" w:hanging="420"/>
      </w:pPr>
    </w:lvl>
    <w:lvl w:ilvl="3" w:tentative="0">
      <w:start w:val="1"/>
      <w:numFmt w:val="decimal"/>
      <w:lvlText w:val="%4."/>
      <w:lvlJc w:val="left"/>
      <w:pPr>
        <w:ind w:left="2160" w:hanging="420"/>
      </w:pPr>
    </w:lvl>
    <w:lvl w:ilvl="4" w:tentative="0">
      <w:start w:val="1"/>
      <w:numFmt w:val="lowerLetter"/>
      <w:lvlText w:val="%5)"/>
      <w:lvlJc w:val="left"/>
      <w:pPr>
        <w:ind w:left="2580" w:hanging="420"/>
      </w:pPr>
    </w:lvl>
    <w:lvl w:ilvl="5" w:tentative="0">
      <w:start w:val="1"/>
      <w:numFmt w:val="lowerRoman"/>
      <w:lvlText w:val="%6."/>
      <w:lvlJc w:val="right"/>
      <w:pPr>
        <w:ind w:left="3000" w:hanging="420"/>
      </w:pPr>
    </w:lvl>
    <w:lvl w:ilvl="6" w:tentative="0">
      <w:start w:val="1"/>
      <w:numFmt w:val="decimal"/>
      <w:lvlText w:val="%7."/>
      <w:lvlJc w:val="left"/>
      <w:pPr>
        <w:ind w:left="3420" w:hanging="420"/>
      </w:pPr>
    </w:lvl>
    <w:lvl w:ilvl="7" w:tentative="0">
      <w:start w:val="1"/>
      <w:numFmt w:val="lowerLetter"/>
      <w:lvlText w:val="%8)"/>
      <w:lvlJc w:val="left"/>
      <w:pPr>
        <w:ind w:left="3840" w:hanging="420"/>
      </w:pPr>
    </w:lvl>
    <w:lvl w:ilvl="8" w:tentative="0">
      <w:start w:val="1"/>
      <w:numFmt w:val="lowerRoman"/>
      <w:lvlText w:val="%9."/>
      <w:lvlJc w:val="right"/>
      <w:pPr>
        <w:ind w:left="4260" w:hanging="420"/>
      </w:pPr>
    </w:lvl>
  </w:abstractNum>
  <w:abstractNum w:abstractNumId="9">
    <w:nsid w:val="158922D4"/>
    <w:multiLevelType w:val="singleLevel"/>
    <w:tmpl w:val="158922D4"/>
    <w:lvl w:ilvl="0" w:tentative="0">
      <w:start w:val="1"/>
      <w:numFmt w:val="decimalEnclosedCircleChinese"/>
      <w:suff w:val="nothing"/>
      <w:lvlText w:val="%1　"/>
      <w:lvlJc w:val="left"/>
      <w:pPr>
        <w:ind w:left="0" w:firstLine="400"/>
      </w:pPr>
      <w:rPr>
        <w:rFonts w:hint="eastAsia"/>
      </w:rPr>
    </w:lvl>
  </w:abstractNum>
  <w:abstractNum w:abstractNumId="10">
    <w:nsid w:val="17235B1E"/>
    <w:multiLevelType w:val="multilevel"/>
    <w:tmpl w:val="17235B1E"/>
    <w:lvl w:ilvl="0" w:tentative="0">
      <w:start w:val="1"/>
      <w:numFmt w:val="decimal"/>
      <w:lvlText w:val="%1."/>
      <w:lvlJc w:val="left"/>
      <w:pPr>
        <w:ind w:left="840" w:hanging="360"/>
      </w:pPr>
      <w:rPr>
        <w:rFonts w:hint="default"/>
        <w:b w:val="0"/>
      </w:rPr>
    </w:lvl>
    <w:lvl w:ilvl="1" w:tentative="0">
      <w:start w:val="1"/>
      <w:numFmt w:val="lowerLetter"/>
      <w:lvlText w:val="%2)"/>
      <w:lvlJc w:val="left"/>
      <w:pPr>
        <w:ind w:left="1320" w:hanging="420"/>
      </w:pPr>
    </w:lvl>
    <w:lvl w:ilvl="2" w:tentative="0">
      <w:start w:val="1"/>
      <w:numFmt w:val="lowerRoman"/>
      <w:lvlText w:val="%3."/>
      <w:lvlJc w:val="right"/>
      <w:pPr>
        <w:ind w:left="1740" w:hanging="420"/>
      </w:pPr>
    </w:lvl>
    <w:lvl w:ilvl="3" w:tentative="0">
      <w:start w:val="1"/>
      <w:numFmt w:val="decimal"/>
      <w:lvlText w:val="%4."/>
      <w:lvlJc w:val="left"/>
      <w:pPr>
        <w:ind w:left="2160" w:hanging="420"/>
      </w:pPr>
    </w:lvl>
    <w:lvl w:ilvl="4" w:tentative="0">
      <w:start w:val="1"/>
      <w:numFmt w:val="lowerLetter"/>
      <w:lvlText w:val="%5)"/>
      <w:lvlJc w:val="left"/>
      <w:pPr>
        <w:ind w:left="2580" w:hanging="420"/>
      </w:pPr>
    </w:lvl>
    <w:lvl w:ilvl="5" w:tentative="0">
      <w:start w:val="1"/>
      <w:numFmt w:val="lowerRoman"/>
      <w:lvlText w:val="%6."/>
      <w:lvlJc w:val="right"/>
      <w:pPr>
        <w:ind w:left="3000" w:hanging="420"/>
      </w:pPr>
    </w:lvl>
    <w:lvl w:ilvl="6" w:tentative="0">
      <w:start w:val="1"/>
      <w:numFmt w:val="decimal"/>
      <w:lvlText w:val="%7."/>
      <w:lvlJc w:val="left"/>
      <w:pPr>
        <w:ind w:left="3420" w:hanging="420"/>
      </w:pPr>
    </w:lvl>
    <w:lvl w:ilvl="7" w:tentative="0">
      <w:start w:val="1"/>
      <w:numFmt w:val="lowerLetter"/>
      <w:lvlText w:val="%8)"/>
      <w:lvlJc w:val="left"/>
      <w:pPr>
        <w:ind w:left="3840" w:hanging="420"/>
      </w:pPr>
    </w:lvl>
    <w:lvl w:ilvl="8" w:tentative="0">
      <w:start w:val="1"/>
      <w:numFmt w:val="lowerRoman"/>
      <w:lvlText w:val="%9."/>
      <w:lvlJc w:val="right"/>
      <w:pPr>
        <w:ind w:left="4260" w:hanging="420"/>
      </w:pPr>
    </w:lvl>
  </w:abstractNum>
  <w:abstractNum w:abstractNumId="11">
    <w:nsid w:val="1BE54624"/>
    <w:multiLevelType w:val="multilevel"/>
    <w:tmpl w:val="1BE54624"/>
    <w:lvl w:ilvl="0" w:tentative="0">
      <w:start w:val="1"/>
      <w:numFmt w:val="japaneseCounting"/>
      <w:lvlText w:val="（%1）"/>
      <w:lvlJc w:val="left"/>
      <w:pPr>
        <w:ind w:left="765" w:hanging="765"/>
      </w:pPr>
      <w:rPr>
        <w:rFonts w:hint="default"/>
        <w:b w:val="0"/>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2">
    <w:nsid w:val="208666C9"/>
    <w:multiLevelType w:val="multilevel"/>
    <w:tmpl w:val="208666C9"/>
    <w:lvl w:ilvl="0" w:tentative="0">
      <w:start w:val="1"/>
      <w:numFmt w:val="decimal"/>
      <w:lvlText w:val="%1."/>
      <w:lvlJc w:val="left"/>
      <w:pPr>
        <w:ind w:left="840" w:hanging="360"/>
      </w:pPr>
      <w:rPr>
        <w:rFonts w:hint="default"/>
        <w:b w:val="0"/>
      </w:rPr>
    </w:lvl>
    <w:lvl w:ilvl="1" w:tentative="0">
      <w:start w:val="1"/>
      <w:numFmt w:val="lowerLetter"/>
      <w:lvlText w:val="%2)"/>
      <w:lvlJc w:val="left"/>
      <w:pPr>
        <w:ind w:left="1320" w:hanging="420"/>
      </w:pPr>
    </w:lvl>
    <w:lvl w:ilvl="2" w:tentative="0">
      <w:start w:val="1"/>
      <w:numFmt w:val="lowerRoman"/>
      <w:lvlText w:val="%3."/>
      <w:lvlJc w:val="right"/>
      <w:pPr>
        <w:ind w:left="1740" w:hanging="420"/>
      </w:pPr>
    </w:lvl>
    <w:lvl w:ilvl="3" w:tentative="0">
      <w:start w:val="1"/>
      <w:numFmt w:val="decimal"/>
      <w:lvlText w:val="%4."/>
      <w:lvlJc w:val="left"/>
      <w:pPr>
        <w:ind w:left="2160" w:hanging="420"/>
      </w:pPr>
    </w:lvl>
    <w:lvl w:ilvl="4" w:tentative="0">
      <w:start w:val="1"/>
      <w:numFmt w:val="lowerLetter"/>
      <w:lvlText w:val="%5)"/>
      <w:lvlJc w:val="left"/>
      <w:pPr>
        <w:ind w:left="2580" w:hanging="420"/>
      </w:pPr>
    </w:lvl>
    <w:lvl w:ilvl="5" w:tentative="0">
      <w:start w:val="1"/>
      <w:numFmt w:val="lowerRoman"/>
      <w:lvlText w:val="%6."/>
      <w:lvlJc w:val="right"/>
      <w:pPr>
        <w:ind w:left="3000" w:hanging="420"/>
      </w:pPr>
    </w:lvl>
    <w:lvl w:ilvl="6" w:tentative="0">
      <w:start w:val="1"/>
      <w:numFmt w:val="decimal"/>
      <w:lvlText w:val="%7."/>
      <w:lvlJc w:val="left"/>
      <w:pPr>
        <w:ind w:left="3420" w:hanging="420"/>
      </w:pPr>
    </w:lvl>
    <w:lvl w:ilvl="7" w:tentative="0">
      <w:start w:val="1"/>
      <w:numFmt w:val="lowerLetter"/>
      <w:lvlText w:val="%8)"/>
      <w:lvlJc w:val="left"/>
      <w:pPr>
        <w:ind w:left="3840" w:hanging="420"/>
      </w:pPr>
    </w:lvl>
    <w:lvl w:ilvl="8" w:tentative="0">
      <w:start w:val="1"/>
      <w:numFmt w:val="lowerRoman"/>
      <w:lvlText w:val="%9."/>
      <w:lvlJc w:val="right"/>
      <w:pPr>
        <w:ind w:left="4260" w:hanging="420"/>
      </w:pPr>
    </w:lvl>
  </w:abstractNum>
  <w:abstractNum w:abstractNumId="13">
    <w:nsid w:val="21ED49D4"/>
    <w:multiLevelType w:val="multilevel"/>
    <w:tmpl w:val="21ED49D4"/>
    <w:lvl w:ilvl="0" w:tentative="0">
      <w:start w:val="1"/>
      <w:numFmt w:val="decimal"/>
      <w:lvlText w:val="%1."/>
      <w:lvlJc w:val="left"/>
      <w:pPr>
        <w:ind w:left="840" w:hanging="360"/>
      </w:pPr>
      <w:rPr>
        <w:rFonts w:hint="default"/>
        <w:b/>
      </w:rPr>
    </w:lvl>
    <w:lvl w:ilvl="1" w:tentative="0">
      <w:start w:val="1"/>
      <w:numFmt w:val="lowerLetter"/>
      <w:lvlText w:val="%2)"/>
      <w:lvlJc w:val="left"/>
      <w:pPr>
        <w:ind w:left="1320" w:hanging="420"/>
      </w:pPr>
    </w:lvl>
    <w:lvl w:ilvl="2" w:tentative="0">
      <w:start w:val="1"/>
      <w:numFmt w:val="lowerRoman"/>
      <w:lvlText w:val="%3."/>
      <w:lvlJc w:val="right"/>
      <w:pPr>
        <w:ind w:left="1740" w:hanging="420"/>
      </w:pPr>
    </w:lvl>
    <w:lvl w:ilvl="3" w:tentative="0">
      <w:start w:val="1"/>
      <w:numFmt w:val="decimal"/>
      <w:lvlText w:val="%4."/>
      <w:lvlJc w:val="left"/>
      <w:pPr>
        <w:ind w:left="2160" w:hanging="420"/>
      </w:pPr>
    </w:lvl>
    <w:lvl w:ilvl="4" w:tentative="0">
      <w:start w:val="1"/>
      <w:numFmt w:val="lowerLetter"/>
      <w:lvlText w:val="%5)"/>
      <w:lvlJc w:val="left"/>
      <w:pPr>
        <w:ind w:left="2580" w:hanging="420"/>
      </w:pPr>
    </w:lvl>
    <w:lvl w:ilvl="5" w:tentative="0">
      <w:start w:val="1"/>
      <w:numFmt w:val="lowerRoman"/>
      <w:lvlText w:val="%6."/>
      <w:lvlJc w:val="right"/>
      <w:pPr>
        <w:ind w:left="3000" w:hanging="420"/>
      </w:pPr>
    </w:lvl>
    <w:lvl w:ilvl="6" w:tentative="0">
      <w:start w:val="1"/>
      <w:numFmt w:val="decimal"/>
      <w:lvlText w:val="%7."/>
      <w:lvlJc w:val="left"/>
      <w:pPr>
        <w:ind w:left="3420" w:hanging="420"/>
      </w:pPr>
    </w:lvl>
    <w:lvl w:ilvl="7" w:tentative="0">
      <w:start w:val="1"/>
      <w:numFmt w:val="lowerLetter"/>
      <w:lvlText w:val="%8)"/>
      <w:lvlJc w:val="left"/>
      <w:pPr>
        <w:ind w:left="3840" w:hanging="420"/>
      </w:pPr>
    </w:lvl>
    <w:lvl w:ilvl="8" w:tentative="0">
      <w:start w:val="1"/>
      <w:numFmt w:val="lowerRoman"/>
      <w:lvlText w:val="%9."/>
      <w:lvlJc w:val="right"/>
      <w:pPr>
        <w:ind w:left="4260" w:hanging="420"/>
      </w:pPr>
    </w:lvl>
  </w:abstractNum>
  <w:abstractNum w:abstractNumId="14">
    <w:nsid w:val="23FF2BD0"/>
    <w:multiLevelType w:val="multilevel"/>
    <w:tmpl w:val="23FF2BD0"/>
    <w:lvl w:ilvl="0" w:tentative="0">
      <w:start w:val="1"/>
      <w:numFmt w:val="japaneseCounting"/>
      <w:lvlText w:val="（%1）"/>
      <w:lvlJc w:val="left"/>
      <w:pPr>
        <w:ind w:left="1286" w:hanging="720"/>
      </w:pPr>
      <w:rPr>
        <w:rFonts w:hint="default"/>
      </w:rPr>
    </w:lvl>
    <w:lvl w:ilvl="1" w:tentative="0">
      <w:start w:val="1"/>
      <w:numFmt w:val="lowerLetter"/>
      <w:lvlText w:val="%2)"/>
      <w:lvlJc w:val="left"/>
      <w:pPr>
        <w:ind w:left="1446" w:hanging="440"/>
      </w:pPr>
    </w:lvl>
    <w:lvl w:ilvl="2" w:tentative="0">
      <w:start w:val="1"/>
      <w:numFmt w:val="lowerRoman"/>
      <w:lvlText w:val="%3."/>
      <w:lvlJc w:val="right"/>
      <w:pPr>
        <w:ind w:left="1886" w:hanging="440"/>
      </w:pPr>
    </w:lvl>
    <w:lvl w:ilvl="3" w:tentative="0">
      <w:start w:val="1"/>
      <w:numFmt w:val="decimal"/>
      <w:lvlText w:val="%4."/>
      <w:lvlJc w:val="left"/>
      <w:pPr>
        <w:ind w:left="2326" w:hanging="440"/>
      </w:pPr>
    </w:lvl>
    <w:lvl w:ilvl="4" w:tentative="0">
      <w:start w:val="1"/>
      <w:numFmt w:val="lowerLetter"/>
      <w:lvlText w:val="%5)"/>
      <w:lvlJc w:val="left"/>
      <w:pPr>
        <w:ind w:left="2766" w:hanging="440"/>
      </w:pPr>
    </w:lvl>
    <w:lvl w:ilvl="5" w:tentative="0">
      <w:start w:val="1"/>
      <w:numFmt w:val="lowerRoman"/>
      <w:lvlText w:val="%6."/>
      <w:lvlJc w:val="right"/>
      <w:pPr>
        <w:ind w:left="3206" w:hanging="440"/>
      </w:pPr>
    </w:lvl>
    <w:lvl w:ilvl="6" w:tentative="0">
      <w:start w:val="1"/>
      <w:numFmt w:val="decimal"/>
      <w:lvlText w:val="%7."/>
      <w:lvlJc w:val="left"/>
      <w:pPr>
        <w:ind w:left="3646" w:hanging="440"/>
      </w:pPr>
    </w:lvl>
    <w:lvl w:ilvl="7" w:tentative="0">
      <w:start w:val="1"/>
      <w:numFmt w:val="lowerLetter"/>
      <w:lvlText w:val="%8)"/>
      <w:lvlJc w:val="left"/>
      <w:pPr>
        <w:ind w:left="4086" w:hanging="440"/>
      </w:pPr>
    </w:lvl>
    <w:lvl w:ilvl="8" w:tentative="0">
      <w:start w:val="1"/>
      <w:numFmt w:val="lowerRoman"/>
      <w:lvlText w:val="%9."/>
      <w:lvlJc w:val="right"/>
      <w:pPr>
        <w:ind w:left="4526" w:hanging="440"/>
      </w:pPr>
    </w:lvl>
  </w:abstractNum>
  <w:abstractNum w:abstractNumId="15">
    <w:nsid w:val="248A03BB"/>
    <w:multiLevelType w:val="multilevel"/>
    <w:tmpl w:val="248A03BB"/>
    <w:lvl w:ilvl="0" w:tentative="0">
      <w:start w:val="1"/>
      <w:numFmt w:val="japaneseCounting"/>
      <w:lvlText w:val="（%1）"/>
      <w:lvlJc w:val="left"/>
      <w:pPr>
        <w:ind w:left="765" w:hanging="765"/>
      </w:pPr>
      <w:rPr>
        <w:rFonts w:hint="default"/>
        <w:b w:val="0"/>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6">
    <w:nsid w:val="3321477F"/>
    <w:multiLevelType w:val="multilevel"/>
    <w:tmpl w:val="3321477F"/>
    <w:lvl w:ilvl="0" w:tentative="0">
      <w:start w:val="1"/>
      <w:numFmt w:val="chineseCountingThousand"/>
      <w:lvlText w:val="第%1条."/>
      <w:lvlJc w:val="left"/>
      <w:pPr>
        <w:ind w:left="2977" w:hanging="425"/>
      </w:pPr>
      <w:rPr>
        <w:rFonts w:hint="eastAsia" w:ascii="宋体" w:hAnsi="宋体" w:eastAsia="宋体"/>
        <w:b/>
      </w:rPr>
    </w:lvl>
    <w:lvl w:ilvl="1" w:tentative="0">
      <w:start w:val="1"/>
      <w:numFmt w:val="decimal"/>
      <w:isLgl/>
      <w:lvlText w:val="%1.%2"/>
      <w:lvlJc w:val="left"/>
      <w:pPr>
        <w:ind w:left="-2835" w:hanging="567"/>
      </w:pPr>
      <w:rPr>
        <w:rFonts w:hint="default" w:ascii="Times New Roman" w:hAnsi="Times New Roman" w:cs="Times New Roman"/>
        <w:b w:val="0"/>
        <w:i w:val="0"/>
        <w:color w:val="auto"/>
      </w:rPr>
    </w:lvl>
    <w:lvl w:ilvl="2" w:tentative="0">
      <w:start w:val="1"/>
      <w:numFmt w:val="decimal"/>
      <w:isLgl/>
      <w:lvlText w:val="%1.%2.%3"/>
      <w:lvlJc w:val="left"/>
      <w:pPr>
        <w:ind w:left="-2835" w:hanging="567"/>
      </w:pPr>
      <w:rPr>
        <w:rFonts w:hint="default" w:ascii="Times New Roman" w:hAnsi="Times New Roman" w:cs="Times New Roman"/>
        <w:b w:val="0"/>
        <w:color w:val="auto"/>
      </w:rPr>
    </w:lvl>
    <w:lvl w:ilvl="3" w:tentative="0">
      <w:start w:val="1"/>
      <w:numFmt w:val="decimal"/>
      <w:lvlText w:val="（%4）"/>
      <w:lvlJc w:val="left"/>
      <w:pPr>
        <w:ind w:left="1701" w:hanging="708"/>
      </w:pPr>
      <w:rPr>
        <w:rFonts w:hint="eastAsia" w:ascii="宋体" w:hAnsi="宋体" w:eastAsia="宋体"/>
        <w:lang w:val="en-US"/>
      </w:rPr>
    </w:lvl>
    <w:lvl w:ilvl="4" w:tentative="0">
      <w:start w:val="1"/>
      <w:numFmt w:val="lowerLetter"/>
      <w:lvlText w:val="（%5）"/>
      <w:lvlJc w:val="left"/>
      <w:pPr>
        <w:ind w:left="567" w:hanging="850"/>
      </w:pPr>
      <w:rPr>
        <w:rFonts w:hint="eastAsia"/>
      </w:rPr>
    </w:lvl>
    <w:lvl w:ilvl="5" w:tentative="0">
      <w:start w:val="1"/>
      <w:numFmt w:val="lowerRoman"/>
      <w:lvlText w:val="（%6）"/>
      <w:lvlJc w:val="left"/>
      <w:pPr>
        <w:ind w:left="2977" w:hanging="1134"/>
      </w:pPr>
      <w:rPr>
        <w:rFonts w:hint="eastAsia"/>
      </w:rPr>
    </w:lvl>
    <w:lvl w:ilvl="6" w:tentative="0">
      <w:start w:val="1"/>
      <w:numFmt w:val="decimal"/>
      <w:lvlText w:val="%1.%2.%3.%4.%5.%6.%7"/>
      <w:lvlJc w:val="left"/>
      <w:pPr>
        <w:ind w:left="3544" w:hanging="1276"/>
      </w:pPr>
      <w:rPr>
        <w:rFonts w:hint="eastAsia"/>
      </w:rPr>
    </w:lvl>
    <w:lvl w:ilvl="7" w:tentative="0">
      <w:start w:val="1"/>
      <w:numFmt w:val="decimal"/>
      <w:lvlText w:val="%1.%2.%3.%4.%5.%6.%7.%8"/>
      <w:lvlJc w:val="left"/>
      <w:pPr>
        <w:ind w:left="4111" w:hanging="1418"/>
      </w:pPr>
      <w:rPr>
        <w:rFonts w:hint="eastAsia"/>
      </w:rPr>
    </w:lvl>
    <w:lvl w:ilvl="8" w:tentative="0">
      <w:start w:val="1"/>
      <w:numFmt w:val="decimal"/>
      <w:lvlText w:val="%1.%2.%3.%4.%5.%6.%7.%8.%9"/>
      <w:lvlJc w:val="left"/>
      <w:pPr>
        <w:ind w:left="4819" w:hanging="1700"/>
      </w:pPr>
      <w:rPr>
        <w:rFonts w:hint="eastAsia"/>
      </w:rPr>
    </w:lvl>
  </w:abstractNum>
  <w:abstractNum w:abstractNumId="17">
    <w:nsid w:val="40F12AC5"/>
    <w:multiLevelType w:val="multilevel"/>
    <w:tmpl w:val="40F12AC5"/>
    <w:lvl w:ilvl="0" w:tentative="0">
      <w:start w:val="1"/>
      <w:numFmt w:val="decimal"/>
      <w:lvlText w:val="%1."/>
      <w:lvlJc w:val="left"/>
      <w:pPr>
        <w:ind w:left="842" w:hanging="360"/>
      </w:pPr>
      <w:rPr>
        <w:rFonts w:hint="default" w:ascii="宋体" w:hAnsi="宋体" w:eastAsia="宋体"/>
        <w:b w:val="0"/>
      </w:rPr>
    </w:lvl>
    <w:lvl w:ilvl="1" w:tentative="0">
      <w:start w:val="1"/>
      <w:numFmt w:val="lowerLetter"/>
      <w:lvlText w:val="%2)"/>
      <w:lvlJc w:val="left"/>
      <w:pPr>
        <w:ind w:left="1322" w:hanging="420"/>
      </w:pPr>
    </w:lvl>
    <w:lvl w:ilvl="2" w:tentative="0">
      <w:start w:val="1"/>
      <w:numFmt w:val="lowerRoman"/>
      <w:lvlText w:val="%3."/>
      <w:lvlJc w:val="right"/>
      <w:pPr>
        <w:ind w:left="1742" w:hanging="420"/>
      </w:pPr>
    </w:lvl>
    <w:lvl w:ilvl="3" w:tentative="0">
      <w:start w:val="1"/>
      <w:numFmt w:val="decimal"/>
      <w:lvlText w:val="%4."/>
      <w:lvlJc w:val="left"/>
      <w:pPr>
        <w:ind w:left="2162" w:hanging="420"/>
      </w:pPr>
    </w:lvl>
    <w:lvl w:ilvl="4" w:tentative="0">
      <w:start w:val="1"/>
      <w:numFmt w:val="lowerLetter"/>
      <w:lvlText w:val="%5)"/>
      <w:lvlJc w:val="left"/>
      <w:pPr>
        <w:ind w:left="2582" w:hanging="420"/>
      </w:pPr>
    </w:lvl>
    <w:lvl w:ilvl="5" w:tentative="0">
      <w:start w:val="1"/>
      <w:numFmt w:val="lowerRoman"/>
      <w:lvlText w:val="%6."/>
      <w:lvlJc w:val="right"/>
      <w:pPr>
        <w:ind w:left="3002" w:hanging="420"/>
      </w:pPr>
    </w:lvl>
    <w:lvl w:ilvl="6" w:tentative="0">
      <w:start w:val="1"/>
      <w:numFmt w:val="decimal"/>
      <w:lvlText w:val="%7."/>
      <w:lvlJc w:val="left"/>
      <w:pPr>
        <w:ind w:left="3422" w:hanging="420"/>
      </w:pPr>
    </w:lvl>
    <w:lvl w:ilvl="7" w:tentative="0">
      <w:start w:val="1"/>
      <w:numFmt w:val="lowerLetter"/>
      <w:lvlText w:val="%8)"/>
      <w:lvlJc w:val="left"/>
      <w:pPr>
        <w:ind w:left="3842" w:hanging="420"/>
      </w:pPr>
    </w:lvl>
    <w:lvl w:ilvl="8" w:tentative="0">
      <w:start w:val="1"/>
      <w:numFmt w:val="lowerRoman"/>
      <w:lvlText w:val="%9."/>
      <w:lvlJc w:val="right"/>
      <w:pPr>
        <w:ind w:left="4262" w:hanging="420"/>
      </w:pPr>
    </w:lvl>
  </w:abstractNum>
  <w:abstractNum w:abstractNumId="18">
    <w:nsid w:val="45F3412F"/>
    <w:multiLevelType w:val="multilevel"/>
    <w:tmpl w:val="45F3412F"/>
    <w:lvl w:ilvl="0" w:tentative="0">
      <w:start w:val="1"/>
      <w:numFmt w:val="japaneseCounting"/>
      <w:lvlText w:val="（%1）"/>
      <w:lvlJc w:val="left"/>
      <w:pPr>
        <w:ind w:left="765" w:hanging="765"/>
      </w:pPr>
      <w:rPr>
        <w:rFonts w:hint="default"/>
        <w:b w:val="0"/>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9">
    <w:nsid w:val="48DC5E65"/>
    <w:multiLevelType w:val="singleLevel"/>
    <w:tmpl w:val="48DC5E65"/>
    <w:lvl w:ilvl="0" w:tentative="0">
      <w:start w:val="1"/>
      <w:numFmt w:val="decimalEnclosedCircleChinese"/>
      <w:suff w:val="nothing"/>
      <w:lvlText w:val="%1　"/>
      <w:lvlJc w:val="left"/>
      <w:pPr>
        <w:ind w:left="0" w:firstLine="400"/>
      </w:pPr>
      <w:rPr>
        <w:rFonts w:hint="eastAsia"/>
        <w:b/>
        <w:lang w:val="en-US"/>
      </w:rPr>
    </w:lvl>
  </w:abstractNum>
  <w:abstractNum w:abstractNumId="20">
    <w:nsid w:val="49DE20CB"/>
    <w:multiLevelType w:val="multilevel"/>
    <w:tmpl w:val="49DE20CB"/>
    <w:lvl w:ilvl="0" w:tentative="0">
      <w:start w:val="1"/>
      <w:numFmt w:val="japaneseCounting"/>
      <w:lvlText w:val="（%1）"/>
      <w:lvlJc w:val="left"/>
      <w:pPr>
        <w:ind w:left="1200" w:hanging="720"/>
      </w:pPr>
      <w:rPr>
        <w:rFonts w:hint="default"/>
        <w:b w:val="0"/>
        <w:lang w:val="en-US"/>
      </w:rPr>
    </w:lvl>
    <w:lvl w:ilvl="1" w:tentative="0">
      <w:start w:val="1"/>
      <w:numFmt w:val="lowerLetter"/>
      <w:lvlText w:val="%2)"/>
      <w:lvlJc w:val="left"/>
      <w:pPr>
        <w:ind w:left="1320" w:hanging="420"/>
      </w:pPr>
    </w:lvl>
    <w:lvl w:ilvl="2" w:tentative="0">
      <w:start w:val="1"/>
      <w:numFmt w:val="lowerRoman"/>
      <w:lvlText w:val="%3."/>
      <w:lvlJc w:val="right"/>
      <w:pPr>
        <w:ind w:left="1740" w:hanging="420"/>
      </w:pPr>
    </w:lvl>
    <w:lvl w:ilvl="3" w:tentative="0">
      <w:start w:val="1"/>
      <w:numFmt w:val="decimal"/>
      <w:lvlText w:val="%4."/>
      <w:lvlJc w:val="left"/>
      <w:pPr>
        <w:ind w:left="2160" w:hanging="420"/>
      </w:pPr>
    </w:lvl>
    <w:lvl w:ilvl="4" w:tentative="0">
      <w:start w:val="1"/>
      <w:numFmt w:val="lowerLetter"/>
      <w:lvlText w:val="%5)"/>
      <w:lvlJc w:val="left"/>
      <w:pPr>
        <w:ind w:left="2580" w:hanging="420"/>
      </w:pPr>
    </w:lvl>
    <w:lvl w:ilvl="5" w:tentative="0">
      <w:start w:val="1"/>
      <w:numFmt w:val="lowerRoman"/>
      <w:lvlText w:val="%6."/>
      <w:lvlJc w:val="right"/>
      <w:pPr>
        <w:ind w:left="3000" w:hanging="420"/>
      </w:pPr>
    </w:lvl>
    <w:lvl w:ilvl="6" w:tentative="0">
      <w:start w:val="1"/>
      <w:numFmt w:val="decimal"/>
      <w:lvlText w:val="%7."/>
      <w:lvlJc w:val="left"/>
      <w:pPr>
        <w:ind w:left="3420" w:hanging="420"/>
      </w:pPr>
    </w:lvl>
    <w:lvl w:ilvl="7" w:tentative="0">
      <w:start w:val="1"/>
      <w:numFmt w:val="lowerLetter"/>
      <w:lvlText w:val="%8)"/>
      <w:lvlJc w:val="left"/>
      <w:pPr>
        <w:ind w:left="3840" w:hanging="420"/>
      </w:pPr>
    </w:lvl>
    <w:lvl w:ilvl="8" w:tentative="0">
      <w:start w:val="1"/>
      <w:numFmt w:val="lowerRoman"/>
      <w:lvlText w:val="%9."/>
      <w:lvlJc w:val="right"/>
      <w:pPr>
        <w:ind w:left="4260" w:hanging="420"/>
      </w:pPr>
    </w:lvl>
  </w:abstractNum>
  <w:abstractNum w:abstractNumId="21">
    <w:nsid w:val="5230311F"/>
    <w:multiLevelType w:val="multilevel"/>
    <w:tmpl w:val="5230311F"/>
    <w:lvl w:ilvl="0" w:tentative="0">
      <w:start w:val="1"/>
      <w:numFmt w:val="decimal"/>
      <w:lvlText w:val="（%1）"/>
      <w:lvlJc w:val="left"/>
      <w:pPr>
        <w:ind w:left="1200" w:hanging="720"/>
      </w:pPr>
      <w:rPr>
        <w:rFonts w:hint="default"/>
      </w:rPr>
    </w:lvl>
    <w:lvl w:ilvl="1" w:tentative="0">
      <w:start w:val="1"/>
      <w:numFmt w:val="lowerLetter"/>
      <w:lvlText w:val="%2)"/>
      <w:lvlJc w:val="left"/>
      <w:pPr>
        <w:ind w:left="1320" w:hanging="420"/>
      </w:pPr>
    </w:lvl>
    <w:lvl w:ilvl="2" w:tentative="0">
      <w:start w:val="1"/>
      <w:numFmt w:val="lowerRoman"/>
      <w:lvlText w:val="%3."/>
      <w:lvlJc w:val="right"/>
      <w:pPr>
        <w:ind w:left="1740" w:hanging="420"/>
      </w:pPr>
    </w:lvl>
    <w:lvl w:ilvl="3" w:tentative="0">
      <w:start w:val="1"/>
      <w:numFmt w:val="decimal"/>
      <w:lvlText w:val="%4."/>
      <w:lvlJc w:val="left"/>
      <w:pPr>
        <w:ind w:left="2160" w:hanging="420"/>
      </w:pPr>
    </w:lvl>
    <w:lvl w:ilvl="4" w:tentative="0">
      <w:start w:val="1"/>
      <w:numFmt w:val="lowerLetter"/>
      <w:lvlText w:val="%5)"/>
      <w:lvlJc w:val="left"/>
      <w:pPr>
        <w:ind w:left="2580" w:hanging="420"/>
      </w:pPr>
    </w:lvl>
    <w:lvl w:ilvl="5" w:tentative="0">
      <w:start w:val="1"/>
      <w:numFmt w:val="lowerRoman"/>
      <w:lvlText w:val="%6."/>
      <w:lvlJc w:val="right"/>
      <w:pPr>
        <w:ind w:left="3000" w:hanging="420"/>
      </w:pPr>
    </w:lvl>
    <w:lvl w:ilvl="6" w:tentative="0">
      <w:start w:val="1"/>
      <w:numFmt w:val="decimal"/>
      <w:lvlText w:val="%7."/>
      <w:lvlJc w:val="left"/>
      <w:pPr>
        <w:ind w:left="3420" w:hanging="420"/>
      </w:pPr>
    </w:lvl>
    <w:lvl w:ilvl="7" w:tentative="0">
      <w:start w:val="1"/>
      <w:numFmt w:val="lowerLetter"/>
      <w:lvlText w:val="%8)"/>
      <w:lvlJc w:val="left"/>
      <w:pPr>
        <w:ind w:left="3840" w:hanging="420"/>
      </w:pPr>
    </w:lvl>
    <w:lvl w:ilvl="8" w:tentative="0">
      <w:start w:val="1"/>
      <w:numFmt w:val="lowerRoman"/>
      <w:lvlText w:val="%9."/>
      <w:lvlJc w:val="right"/>
      <w:pPr>
        <w:ind w:left="4260" w:hanging="420"/>
      </w:pPr>
    </w:lvl>
  </w:abstractNum>
  <w:abstractNum w:abstractNumId="22">
    <w:nsid w:val="53547E0B"/>
    <w:multiLevelType w:val="multilevel"/>
    <w:tmpl w:val="53547E0B"/>
    <w:lvl w:ilvl="0" w:tentative="0">
      <w:start w:val="1"/>
      <w:numFmt w:val="japaneseCounting"/>
      <w:lvlText w:val="（%1）"/>
      <w:lvlJc w:val="left"/>
      <w:pPr>
        <w:ind w:left="765" w:hanging="765"/>
      </w:pPr>
      <w:rPr>
        <w:rFonts w:hint="default"/>
        <w:b w:val="0"/>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23">
    <w:nsid w:val="53E66520"/>
    <w:multiLevelType w:val="multilevel"/>
    <w:tmpl w:val="53E66520"/>
    <w:lvl w:ilvl="0" w:tentative="0">
      <w:start w:val="1"/>
      <w:numFmt w:val="chineseCountingThousand"/>
      <w:lvlText w:val="第%1条."/>
      <w:lvlJc w:val="left"/>
      <w:pPr>
        <w:ind w:left="2977" w:hanging="425"/>
      </w:pPr>
      <w:rPr>
        <w:rFonts w:hint="eastAsia" w:ascii="宋体" w:hAnsi="宋体" w:eastAsia="宋体"/>
        <w:b/>
      </w:rPr>
    </w:lvl>
    <w:lvl w:ilvl="1" w:tentative="0">
      <w:start w:val="1"/>
      <w:numFmt w:val="decimal"/>
      <w:isLgl/>
      <w:lvlText w:val="%1.%2"/>
      <w:lvlJc w:val="left"/>
      <w:pPr>
        <w:ind w:left="-2835" w:hanging="567"/>
      </w:pPr>
      <w:rPr>
        <w:rFonts w:hint="default" w:ascii="Times New Roman" w:hAnsi="Times New Roman" w:cs="Times New Roman"/>
        <w:b w:val="0"/>
        <w:i w:val="0"/>
        <w:color w:val="auto"/>
      </w:rPr>
    </w:lvl>
    <w:lvl w:ilvl="2" w:tentative="0">
      <w:start w:val="1"/>
      <w:numFmt w:val="decimal"/>
      <w:isLgl/>
      <w:lvlText w:val="%1.%2.%3"/>
      <w:lvlJc w:val="left"/>
      <w:pPr>
        <w:ind w:left="-2835" w:hanging="567"/>
      </w:pPr>
      <w:rPr>
        <w:rFonts w:hint="default" w:ascii="Times New Roman" w:hAnsi="Times New Roman" w:cs="Times New Roman"/>
        <w:b w:val="0"/>
        <w:color w:val="auto"/>
      </w:rPr>
    </w:lvl>
    <w:lvl w:ilvl="3" w:tentative="0">
      <w:start w:val="1"/>
      <w:numFmt w:val="decimal"/>
      <w:lvlText w:val="（%4）"/>
      <w:lvlJc w:val="left"/>
      <w:pPr>
        <w:ind w:left="1701" w:hanging="708"/>
      </w:pPr>
      <w:rPr>
        <w:rFonts w:hint="eastAsia" w:ascii="宋体" w:hAnsi="宋体" w:eastAsia="宋体"/>
        <w:lang w:val="en-US"/>
      </w:rPr>
    </w:lvl>
    <w:lvl w:ilvl="4" w:tentative="0">
      <w:start w:val="1"/>
      <w:numFmt w:val="lowerLetter"/>
      <w:lvlText w:val="（%5）"/>
      <w:lvlJc w:val="left"/>
      <w:pPr>
        <w:ind w:left="567" w:hanging="850"/>
      </w:pPr>
      <w:rPr>
        <w:rFonts w:hint="eastAsia"/>
      </w:rPr>
    </w:lvl>
    <w:lvl w:ilvl="5" w:tentative="0">
      <w:start w:val="1"/>
      <w:numFmt w:val="lowerRoman"/>
      <w:lvlText w:val="（%6）"/>
      <w:lvlJc w:val="left"/>
      <w:pPr>
        <w:ind w:left="2977" w:hanging="1134"/>
      </w:pPr>
      <w:rPr>
        <w:rFonts w:hint="eastAsia"/>
      </w:rPr>
    </w:lvl>
    <w:lvl w:ilvl="6" w:tentative="0">
      <w:start w:val="1"/>
      <w:numFmt w:val="decimal"/>
      <w:lvlText w:val="%1.%2.%3.%4.%5.%6.%7"/>
      <w:lvlJc w:val="left"/>
      <w:pPr>
        <w:ind w:left="3544" w:hanging="1276"/>
      </w:pPr>
      <w:rPr>
        <w:rFonts w:hint="eastAsia"/>
      </w:rPr>
    </w:lvl>
    <w:lvl w:ilvl="7" w:tentative="0">
      <w:start w:val="1"/>
      <w:numFmt w:val="decimal"/>
      <w:lvlText w:val="%1.%2.%3.%4.%5.%6.%7.%8"/>
      <w:lvlJc w:val="left"/>
      <w:pPr>
        <w:ind w:left="4111" w:hanging="1418"/>
      </w:pPr>
      <w:rPr>
        <w:rFonts w:hint="eastAsia"/>
      </w:rPr>
    </w:lvl>
    <w:lvl w:ilvl="8" w:tentative="0">
      <w:start w:val="1"/>
      <w:numFmt w:val="decimal"/>
      <w:lvlText w:val="%1.%2.%3.%4.%5.%6.%7.%8.%9"/>
      <w:lvlJc w:val="left"/>
      <w:pPr>
        <w:ind w:left="4819" w:hanging="1700"/>
      </w:pPr>
      <w:rPr>
        <w:rFonts w:hint="eastAsia"/>
      </w:rPr>
    </w:lvl>
  </w:abstractNum>
  <w:abstractNum w:abstractNumId="24">
    <w:nsid w:val="547A1420"/>
    <w:multiLevelType w:val="multilevel"/>
    <w:tmpl w:val="547A1420"/>
    <w:lvl w:ilvl="0" w:tentative="0">
      <w:start w:val="1"/>
      <w:numFmt w:val="chineseCountingThousand"/>
      <w:lvlText w:val="第%1条."/>
      <w:lvlJc w:val="left"/>
      <w:pPr>
        <w:ind w:left="2977" w:hanging="425"/>
      </w:pPr>
      <w:rPr>
        <w:rFonts w:hint="eastAsia" w:ascii="宋体" w:hAnsi="宋体" w:eastAsia="宋体"/>
        <w:b/>
      </w:rPr>
    </w:lvl>
    <w:lvl w:ilvl="1" w:tentative="0">
      <w:start w:val="1"/>
      <w:numFmt w:val="decimal"/>
      <w:isLgl/>
      <w:lvlText w:val="%1.%2"/>
      <w:lvlJc w:val="left"/>
      <w:pPr>
        <w:ind w:left="-2835" w:hanging="567"/>
      </w:pPr>
      <w:rPr>
        <w:rFonts w:hint="default" w:ascii="Times New Roman" w:hAnsi="Times New Roman" w:cs="Times New Roman"/>
        <w:b w:val="0"/>
        <w:i w:val="0"/>
        <w:color w:val="auto"/>
      </w:rPr>
    </w:lvl>
    <w:lvl w:ilvl="2" w:tentative="0">
      <w:start w:val="1"/>
      <w:numFmt w:val="decimal"/>
      <w:isLgl/>
      <w:lvlText w:val="%1.%2.%3"/>
      <w:lvlJc w:val="left"/>
      <w:pPr>
        <w:ind w:left="-2835" w:hanging="567"/>
      </w:pPr>
      <w:rPr>
        <w:rFonts w:hint="default" w:ascii="Times New Roman" w:hAnsi="Times New Roman" w:cs="Times New Roman"/>
        <w:b w:val="0"/>
        <w:color w:val="auto"/>
      </w:rPr>
    </w:lvl>
    <w:lvl w:ilvl="3" w:tentative="0">
      <w:start w:val="1"/>
      <w:numFmt w:val="decimal"/>
      <w:lvlText w:val="（%4）"/>
      <w:lvlJc w:val="left"/>
      <w:pPr>
        <w:ind w:left="1701" w:hanging="708"/>
      </w:pPr>
      <w:rPr>
        <w:rFonts w:hint="eastAsia" w:ascii="宋体" w:hAnsi="宋体" w:eastAsia="宋体"/>
        <w:lang w:val="en-US"/>
      </w:rPr>
    </w:lvl>
    <w:lvl w:ilvl="4" w:tentative="0">
      <w:start w:val="1"/>
      <w:numFmt w:val="lowerLetter"/>
      <w:lvlText w:val="（%5）"/>
      <w:lvlJc w:val="left"/>
      <w:pPr>
        <w:ind w:left="567" w:hanging="850"/>
      </w:pPr>
      <w:rPr>
        <w:rFonts w:hint="eastAsia"/>
      </w:rPr>
    </w:lvl>
    <w:lvl w:ilvl="5" w:tentative="0">
      <w:start w:val="1"/>
      <w:numFmt w:val="lowerRoman"/>
      <w:lvlText w:val="（%6）"/>
      <w:lvlJc w:val="left"/>
      <w:pPr>
        <w:ind w:left="2977" w:hanging="1134"/>
      </w:pPr>
      <w:rPr>
        <w:rFonts w:hint="eastAsia"/>
      </w:rPr>
    </w:lvl>
    <w:lvl w:ilvl="6" w:tentative="0">
      <w:start w:val="1"/>
      <w:numFmt w:val="decimal"/>
      <w:lvlText w:val="%1.%2.%3.%4.%5.%6.%7"/>
      <w:lvlJc w:val="left"/>
      <w:pPr>
        <w:ind w:left="3544" w:hanging="1276"/>
      </w:pPr>
      <w:rPr>
        <w:rFonts w:hint="eastAsia"/>
      </w:rPr>
    </w:lvl>
    <w:lvl w:ilvl="7" w:tentative="0">
      <w:start w:val="1"/>
      <w:numFmt w:val="decimal"/>
      <w:lvlText w:val="%1.%2.%3.%4.%5.%6.%7.%8"/>
      <w:lvlJc w:val="left"/>
      <w:pPr>
        <w:ind w:left="4111" w:hanging="1418"/>
      </w:pPr>
      <w:rPr>
        <w:rFonts w:hint="eastAsia"/>
      </w:rPr>
    </w:lvl>
    <w:lvl w:ilvl="8" w:tentative="0">
      <w:start w:val="1"/>
      <w:numFmt w:val="decimal"/>
      <w:lvlText w:val="%1.%2.%3.%4.%5.%6.%7.%8.%9"/>
      <w:lvlJc w:val="left"/>
      <w:pPr>
        <w:ind w:left="4819" w:hanging="1700"/>
      </w:pPr>
      <w:rPr>
        <w:rFonts w:hint="eastAsia"/>
      </w:rPr>
    </w:lvl>
  </w:abstractNum>
  <w:abstractNum w:abstractNumId="25">
    <w:nsid w:val="5DE31A2F"/>
    <w:multiLevelType w:val="multilevel"/>
    <w:tmpl w:val="5DE31A2F"/>
    <w:lvl w:ilvl="0" w:tentative="0">
      <w:start w:val="1"/>
      <w:numFmt w:val="chineseCountingThousand"/>
      <w:lvlText w:val="第%1条."/>
      <w:lvlJc w:val="left"/>
      <w:pPr>
        <w:ind w:left="2977" w:hanging="425"/>
      </w:pPr>
      <w:rPr>
        <w:rFonts w:hint="eastAsia" w:ascii="宋体" w:hAnsi="宋体" w:eastAsia="宋体"/>
        <w:b/>
      </w:rPr>
    </w:lvl>
    <w:lvl w:ilvl="1" w:tentative="0">
      <w:start w:val="1"/>
      <w:numFmt w:val="decimal"/>
      <w:isLgl/>
      <w:lvlText w:val="%1.%2"/>
      <w:lvlJc w:val="left"/>
      <w:pPr>
        <w:ind w:left="-2835" w:hanging="567"/>
      </w:pPr>
      <w:rPr>
        <w:rFonts w:hint="default" w:ascii="Times New Roman" w:hAnsi="Times New Roman" w:cs="Times New Roman"/>
        <w:b w:val="0"/>
        <w:i w:val="0"/>
        <w:color w:val="auto"/>
      </w:rPr>
    </w:lvl>
    <w:lvl w:ilvl="2" w:tentative="0">
      <w:start w:val="1"/>
      <w:numFmt w:val="decimal"/>
      <w:isLgl/>
      <w:lvlText w:val="%1.%2.%3"/>
      <w:lvlJc w:val="left"/>
      <w:pPr>
        <w:ind w:left="-2835" w:hanging="567"/>
      </w:pPr>
      <w:rPr>
        <w:rFonts w:hint="default" w:ascii="Times New Roman" w:hAnsi="Times New Roman" w:cs="Times New Roman"/>
        <w:b w:val="0"/>
        <w:color w:val="auto"/>
      </w:rPr>
    </w:lvl>
    <w:lvl w:ilvl="3" w:tentative="0">
      <w:start w:val="1"/>
      <w:numFmt w:val="decimal"/>
      <w:lvlText w:val="（%4）"/>
      <w:lvlJc w:val="left"/>
      <w:pPr>
        <w:ind w:left="1701" w:hanging="708"/>
      </w:pPr>
      <w:rPr>
        <w:rFonts w:hint="eastAsia" w:ascii="宋体" w:hAnsi="宋体" w:eastAsia="宋体"/>
        <w:lang w:val="en-US"/>
      </w:rPr>
    </w:lvl>
    <w:lvl w:ilvl="4" w:tentative="0">
      <w:start w:val="1"/>
      <w:numFmt w:val="lowerLetter"/>
      <w:lvlText w:val="（%5）"/>
      <w:lvlJc w:val="left"/>
      <w:pPr>
        <w:ind w:left="567" w:hanging="850"/>
      </w:pPr>
      <w:rPr>
        <w:rFonts w:hint="eastAsia"/>
      </w:rPr>
    </w:lvl>
    <w:lvl w:ilvl="5" w:tentative="0">
      <w:start w:val="1"/>
      <w:numFmt w:val="lowerRoman"/>
      <w:lvlText w:val="（%6）"/>
      <w:lvlJc w:val="left"/>
      <w:pPr>
        <w:ind w:left="2977" w:hanging="1134"/>
      </w:pPr>
      <w:rPr>
        <w:rFonts w:hint="eastAsia"/>
      </w:rPr>
    </w:lvl>
    <w:lvl w:ilvl="6" w:tentative="0">
      <w:start w:val="1"/>
      <w:numFmt w:val="decimal"/>
      <w:lvlText w:val="%1.%2.%3.%4.%5.%6.%7"/>
      <w:lvlJc w:val="left"/>
      <w:pPr>
        <w:ind w:left="3544" w:hanging="1276"/>
      </w:pPr>
      <w:rPr>
        <w:rFonts w:hint="eastAsia"/>
      </w:rPr>
    </w:lvl>
    <w:lvl w:ilvl="7" w:tentative="0">
      <w:start w:val="1"/>
      <w:numFmt w:val="decimal"/>
      <w:lvlText w:val="%1.%2.%3.%4.%5.%6.%7.%8"/>
      <w:lvlJc w:val="left"/>
      <w:pPr>
        <w:ind w:left="4111" w:hanging="1418"/>
      </w:pPr>
      <w:rPr>
        <w:rFonts w:hint="eastAsia"/>
      </w:rPr>
    </w:lvl>
    <w:lvl w:ilvl="8" w:tentative="0">
      <w:start w:val="1"/>
      <w:numFmt w:val="decimal"/>
      <w:lvlText w:val="%1.%2.%3.%4.%5.%6.%7.%8.%9"/>
      <w:lvlJc w:val="left"/>
      <w:pPr>
        <w:ind w:left="4819" w:hanging="1700"/>
      </w:pPr>
      <w:rPr>
        <w:rFonts w:hint="eastAsia"/>
      </w:rPr>
    </w:lvl>
  </w:abstractNum>
  <w:abstractNum w:abstractNumId="26">
    <w:nsid w:val="6D187587"/>
    <w:multiLevelType w:val="multilevel"/>
    <w:tmpl w:val="6D187587"/>
    <w:lvl w:ilvl="0" w:tentative="0">
      <w:start w:val="1"/>
      <w:numFmt w:val="japaneseCounting"/>
      <w:lvlText w:val="（%1）"/>
      <w:lvlJc w:val="left"/>
      <w:pPr>
        <w:ind w:left="765" w:hanging="765"/>
      </w:pPr>
      <w:rPr>
        <w:rFonts w:hint="default"/>
        <w:b w:val="0"/>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27">
    <w:nsid w:val="75BD1DB5"/>
    <w:multiLevelType w:val="multilevel"/>
    <w:tmpl w:val="75BD1DB5"/>
    <w:lvl w:ilvl="0" w:tentative="0">
      <w:start w:val="1"/>
      <w:numFmt w:val="decimal"/>
      <w:lvlText w:val="%1."/>
      <w:lvlJc w:val="left"/>
      <w:pPr>
        <w:ind w:left="840" w:hanging="360"/>
      </w:pPr>
      <w:rPr>
        <w:rFonts w:hint="default"/>
        <w:b/>
      </w:rPr>
    </w:lvl>
    <w:lvl w:ilvl="1" w:tentative="0">
      <w:start w:val="1"/>
      <w:numFmt w:val="lowerLetter"/>
      <w:lvlText w:val="%2)"/>
      <w:lvlJc w:val="left"/>
      <w:pPr>
        <w:ind w:left="1320" w:hanging="420"/>
      </w:pPr>
    </w:lvl>
    <w:lvl w:ilvl="2" w:tentative="0">
      <w:start w:val="1"/>
      <w:numFmt w:val="lowerRoman"/>
      <w:lvlText w:val="%3."/>
      <w:lvlJc w:val="right"/>
      <w:pPr>
        <w:ind w:left="1740" w:hanging="420"/>
      </w:pPr>
    </w:lvl>
    <w:lvl w:ilvl="3" w:tentative="0">
      <w:start w:val="1"/>
      <w:numFmt w:val="decimal"/>
      <w:lvlText w:val="%4."/>
      <w:lvlJc w:val="left"/>
      <w:pPr>
        <w:ind w:left="2160" w:hanging="420"/>
      </w:pPr>
    </w:lvl>
    <w:lvl w:ilvl="4" w:tentative="0">
      <w:start w:val="1"/>
      <w:numFmt w:val="lowerLetter"/>
      <w:lvlText w:val="%5)"/>
      <w:lvlJc w:val="left"/>
      <w:pPr>
        <w:ind w:left="2580" w:hanging="420"/>
      </w:pPr>
    </w:lvl>
    <w:lvl w:ilvl="5" w:tentative="0">
      <w:start w:val="1"/>
      <w:numFmt w:val="lowerRoman"/>
      <w:lvlText w:val="%6."/>
      <w:lvlJc w:val="right"/>
      <w:pPr>
        <w:ind w:left="3000" w:hanging="420"/>
      </w:pPr>
    </w:lvl>
    <w:lvl w:ilvl="6" w:tentative="0">
      <w:start w:val="1"/>
      <w:numFmt w:val="decimal"/>
      <w:lvlText w:val="%7."/>
      <w:lvlJc w:val="left"/>
      <w:pPr>
        <w:ind w:left="3420" w:hanging="420"/>
      </w:pPr>
    </w:lvl>
    <w:lvl w:ilvl="7" w:tentative="0">
      <w:start w:val="1"/>
      <w:numFmt w:val="lowerLetter"/>
      <w:lvlText w:val="%8)"/>
      <w:lvlJc w:val="left"/>
      <w:pPr>
        <w:ind w:left="3840" w:hanging="420"/>
      </w:pPr>
    </w:lvl>
    <w:lvl w:ilvl="8" w:tentative="0">
      <w:start w:val="1"/>
      <w:numFmt w:val="lowerRoman"/>
      <w:lvlText w:val="%9."/>
      <w:lvlJc w:val="right"/>
      <w:pPr>
        <w:ind w:left="4260" w:hanging="420"/>
      </w:pPr>
    </w:lvl>
  </w:abstractNum>
  <w:abstractNum w:abstractNumId="28">
    <w:nsid w:val="790345B3"/>
    <w:multiLevelType w:val="multilevel"/>
    <w:tmpl w:val="790345B3"/>
    <w:lvl w:ilvl="0" w:tentative="0">
      <w:start w:val="1"/>
      <w:numFmt w:val="decimal"/>
      <w:lvlText w:val="%1."/>
      <w:lvlJc w:val="left"/>
      <w:pPr>
        <w:ind w:left="840" w:hanging="360"/>
      </w:pPr>
      <w:rPr>
        <w:rFonts w:hint="default"/>
        <w:b w:val="0"/>
      </w:rPr>
    </w:lvl>
    <w:lvl w:ilvl="1" w:tentative="0">
      <w:start w:val="1"/>
      <w:numFmt w:val="lowerLetter"/>
      <w:lvlText w:val="%2)"/>
      <w:lvlJc w:val="left"/>
      <w:pPr>
        <w:ind w:left="1320" w:hanging="420"/>
      </w:pPr>
    </w:lvl>
    <w:lvl w:ilvl="2" w:tentative="0">
      <w:start w:val="1"/>
      <w:numFmt w:val="lowerRoman"/>
      <w:lvlText w:val="%3."/>
      <w:lvlJc w:val="right"/>
      <w:pPr>
        <w:ind w:left="1740" w:hanging="420"/>
      </w:pPr>
    </w:lvl>
    <w:lvl w:ilvl="3" w:tentative="0">
      <w:start w:val="1"/>
      <w:numFmt w:val="decimal"/>
      <w:lvlText w:val="%4."/>
      <w:lvlJc w:val="left"/>
      <w:pPr>
        <w:ind w:left="2160" w:hanging="420"/>
      </w:pPr>
    </w:lvl>
    <w:lvl w:ilvl="4" w:tentative="0">
      <w:start w:val="1"/>
      <w:numFmt w:val="lowerLetter"/>
      <w:lvlText w:val="%5)"/>
      <w:lvlJc w:val="left"/>
      <w:pPr>
        <w:ind w:left="2580" w:hanging="420"/>
      </w:pPr>
    </w:lvl>
    <w:lvl w:ilvl="5" w:tentative="0">
      <w:start w:val="1"/>
      <w:numFmt w:val="lowerRoman"/>
      <w:lvlText w:val="%6."/>
      <w:lvlJc w:val="right"/>
      <w:pPr>
        <w:ind w:left="3000" w:hanging="420"/>
      </w:pPr>
    </w:lvl>
    <w:lvl w:ilvl="6" w:tentative="0">
      <w:start w:val="1"/>
      <w:numFmt w:val="decimal"/>
      <w:lvlText w:val="%7."/>
      <w:lvlJc w:val="left"/>
      <w:pPr>
        <w:ind w:left="3420" w:hanging="420"/>
      </w:pPr>
    </w:lvl>
    <w:lvl w:ilvl="7" w:tentative="0">
      <w:start w:val="1"/>
      <w:numFmt w:val="lowerLetter"/>
      <w:lvlText w:val="%8)"/>
      <w:lvlJc w:val="left"/>
      <w:pPr>
        <w:ind w:left="3840" w:hanging="420"/>
      </w:pPr>
    </w:lvl>
    <w:lvl w:ilvl="8" w:tentative="0">
      <w:start w:val="1"/>
      <w:numFmt w:val="lowerRoman"/>
      <w:lvlText w:val="%9."/>
      <w:lvlJc w:val="right"/>
      <w:pPr>
        <w:ind w:left="4260" w:hanging="420"/>
      </w:pPr>
    </w:lvl>
  </w:abstractNum>
  <w:num w:numId="1">
    <w:abstractNumId w:val="16"/>
  </w:num>
  <w:num w:numId="2">
    <w:abstractNumId w:val="20"/>
  </w:num>
  <w:num w:numId="3">
    <w:abstractNumId w:val="8"/>
  </w:num>
  <w:num w:numId="4">
    <w:abstractNumId w:val="14"/>
  </w:num>
  <w:num w:numId="5">
    <w:abstractNumId w:val="12"/>
  </w:num>
  <w:num w:numId="6">
    <w:abstractNumId w:val="17"/>
  </w:num>
  <w:num w:numId="7">
    <w:abstractNumId w:val="13"/>
  </w:num>
  <w:num w:numId="8">
    <w:abstractNumId w:val="0"/>
  </w:num>
  <w:num w:numId="9">
    <w:abstractNumId w:val="1"/>
  </w:num>
  <w:num w:numId="10">
    <w:abstractNumId w:val="23"/>
  </w:num>
  <w:num w:numId="11">
    <w:abstractNumId w:val="4"/>
  </w:num>
  <w:num w:numId="12">
    <w:abstractNumId w:val="24"/>
  </w:num>
  <w:num w:numId="13">
    <w:abstractNumId w:val="25"/>
  </w:num>
  <w:num w:numId="14">
    <w:abstractNumId w:val="3"/>
  </w:num>
  <w:num w:numId="15">
    <w:abstractNumId w:val="27"/>
  </w:num>
  <w:num w:numId="16">
    <w:abstractNumId w:val="6"/>
  </w:num>
  <w:num w:numId="17">
    <w:abstractNumId w:val="2"/>
  </w:num>
  <w:num w:numId="18">
    <w:abstractNumId w:val="9"/>
  </w:num>
  <w:num w:numId="19">
    <w:abstractNumId w:val="19"/>
  </w:num>
  <w:num w:numId="20">
    <w:abstractNumId w:val="21"/>
  </w:num>
  <w:num w:numId="21">
    <w:abstractNumId w:val="7"/>
  </w:num>
  <w:num w:numId="22">
    <w:abstractNumId w:val="26"/>
  </w:num>
  <w:num w:numId="23">
    <w:abstractNumId w:val="18"/>
  </w:num>
  <w:num w:numId="24">
    <w:abstractNumId w:val="10"/>
  </w:num>
  <w:num w:numId="25">
    <w:abstractNumId w:val="28"/>
  </w:num>
  <w:num w:numId="26">
    <w:abstractNumId w:val="15"/>
  </w:num>
  <w:num w:numId="27">
    <w:abstractNumId w:val="11"/>
  </w:num>
  <w:num w:numId="28">
    <w:abstractNumId w:val="22"/>
  </w:num>
  <w:num w:numId="29">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1"/>
  <w:bordersDoNotSurroundFooter w:val="1"/>
  <w:trackRevisions w:val="1"/>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C76A1"/>
    <w:rsid w:val="00007581"/>
    <w:rsid w:val="00010AEB"/>
    <w:rsid w:val="00016392"/>
    <w:rsid w:val="00033050"/>
    <w:rsid w:val="00044F12"/>
    <w:rsid w:val="0006278B"/>
    <w:rsid w:val="00093ED4"/>
    <w:rsid w:val="00094850"/>
    <w:rsid w:val="000A4FC8"/>
    <w:rsid w:val="000A692C"/>
    <w:rsid w:val="000C0957"/>
    <w:rsid w:val="000D1DB2"/>
    <w:rsid w:val="000F50C1"/>
    <w:rsid w:val="000F54BC"/>
    <w:rsid w:val="001011EB"/>
    <w:rsid w:val="0012436A"/>
    <w:rsid w:val="00164E76"/>
    <w:rsid w:val="001753BB"/>
    <w:rsid w:val="001A52D7"/>
    <w:rsid w:val="001B10DF"/>
    <w:rsid w:val="001B71BD"/>
    <w:rsid w:val="001D7C9B"/>
    <w:rsid w:val="001F3794"/>
    <w:rsid w:val="00222754"/>
    <w:rsid w:val="00271549"/>
    <w:rsid w:val="00272492"/>
    <w:rsid w:val="002724C5"/>
    <w:rsid w:val="002B2928"/>
    <w:rsid w:val="002B2D6B"/>
    <w:rsid w:val="002B600A"/>
    <w:rsid w:val="002C0B9D"/>
    <w:rsid w:val="002D0202"/>
    <w:rsid w:val="002D272B"/>
    <w:rsid w:val="002D5EE6"/>
    <w:rsid w:val="003105ED"/>
    <w:rsid w:val="0034606F"/>
    <w:rsid w:val="003E0D0A"/>
    <w:rsid w:val="00411B92"/>
    <w:rsid w:val="004214B9"/>
    <w:rsid w:val="00442A25"/>
    <w:rsid w:val="004445D3"/>
    <w:rsid w:val="00457E09"/>
    <w:rsid w:val="00487F11"/>
    <w:rsid w:val="004E226D"/>
    <w:rsid w:val="004F1996"/>
    <w:rsid w:val="00504984"/>
    <w:rsid w:val="00505F9C"/>
    <w:rsid w:val="00507F37"/>
    <w:rsid w:val="005100CA"/>
    <w:rsid w:val="0051335C"/>
    <w:rsid w:val="00532558"/>
    <w:rsid w:val="00541667"/>
    <w:rsid w:val="005470E6"/>
    <w:rsid w:val="00570180"/>
    <w:rsid w:val="005A227C"/>
    <w:rsid w:val="005D6EFD"/>
    <w:rsid w:val="005E1C4D"/>
    <w:rsid w:val="005E2EB9"/>
    <w:rsid w:val="005F33CC"/>
    <w:rsid w:val="005F3C2C"/>
    <w:rsid w:val="006012FF"/>
    <w:rsid w:val="00617FF6"/>
    <w:rsid w:val="006339A3"/>
    <w:rsid w:val="00673DBD"/>
    <w:rsid w:val="006875A5"/>
    <w:rsid w:val="006A4F4E"/>
    <w:rsid w:val="006A4FEA"/>
    <w:rsid w:val="006C4790"/>
    <w:rsid w:val="00706F67"/>
    <w:rsid w:val="00716622"/>
    <w:rsid w:val="00730596"/>
    <w:rsid w:val="00730DAD"/>
    <w:rsid w:val="007335E7"/>
    <w:rsid w:val="0073732F"/>
    <w:rsid w:val="00746E5D"/>
    <w:rsid w:val="007537D5"/>
    <w:rsid w:val="00767471"/>
    <w:rsid w:val="007679E8"/>
    <w:rsid w:val="00776945"/>
    <w:rsid w:val="0078589E"/>
    <w:rsid w:val="007B3FB0"/>
    <w:rsid w:val="007B4766"/>
    <w:rsid w:val="007D3A0B"/>
    <w:rsid w:val="007D697A"/>
    <w:rsid w:val="007F075E"/>
    <w:rsid w:val="00806914"/>
    <w:rsid w:val="0082013E"/>
    <w:rsid w:val="00825753"/>
    <w:rsid w:val="00870CEF"/>
    <w:rsid w:val="008A5968"/>
    <w:rsid w:val="008B457A"/>
    <w:rsid w:val="008B711E"/>
    <w:rsid w:val="008C76A1"/>
    <w:rsid w:val="008E7595"/>
    <w:rsid w:val="008F26EB"/>
    <w:rsid w:val="00902509"/>
    <w:rsid w:val="00926CB8"/>
    <w:rsid w:val="009401E1"/>
    <w:rsid w:val="00950CE0"/>
    <w:rsid w:val="0098482C"/>
    <w:rsid w:val="009A1A87"/>
    <w:rsid w:val="009A4F98"/>
    <w:rsid w:val="009C5AF5"/>
    <w:rsid w:val="009C6D44"/>
    <w:rsid w:val="009C73E8"/>
    <w:rsid w:val="009F46BD"/>
    <w:rsid w:val="00A02220"/>
    <w:rsid w:val="00A3189E"/>
    <w:rsid w:val="00A42713"/>
    <w:rsid w:val="00A538D1"/>
    <w:rsid w:val="00A60A3A"/>
    <w:rsid w:val="00A85A94"/>
    <w:rsid w:val="00A87B1B"/>
    <w:rsid w:val="00AC49DA"/>
    <w:rsid w:val="00AE221C"/>
    <w:rsid w:val="00AE76C6"/>
    <w:rsid w:val="00AF5C93"/>
    <w:rsid w:val="00AF5E38"/>
    <w:rsid w:val="00B3344E"/>
    <w:rsid w:val="00B41F02"/>
    <w:rsid w:val="00B42C6F"/>
    <w:rsid w:val="00B43373"/>
    <w:rsid w:val="00B64AE7"/>
    <w:rsid w:val="00B87CE5"/>
    <w:rsid w:val="00BD10E9"/>
    <w:rsid w:val="00BD4746"/>
    <w:rsid w:val="00BF699E"/>
    <w:rsid w:val="00C0037A"/>
    <w:rsid w:val="00C05886"/>
    <w:rsid w:val="00C36CBD"/>
    <w:rsid w:val="00C4186D"/>
    <w:rsid w:val="00C46D28"/>
    <w:rsid w:val="00C7591A"/>
    <w:rsid w:val="00C956FE"/>
    <w:rsid w:val="00CE7801"/>
    <w:rsid w:val="00CF3B52"/>
    <w:rsid w:val="00D1644B"/>
    <w:rsid w:val="00D40D55"/>
    <w:rsid w:val="00D61AFD"/>
    <w:rsid w:val="00D67EDF"/>
    <w:rsid w:val="00D90E5E"/>
    <w:rsid w:val="00D975C4"/>
    <w:rsid w:val="00DB68A6"/>
    <w:rsid w:val="00DB7FDA"/>
    <w:rsid w:val="00DD76F7"/>
    <w:rsid w:val="00DE3984"/>
    <w:rsid w:val="00E06DBF"/>
    <w:rsid w:val="00E67ECB"/>
    <w:rsid w:val="00E70681"/>
    <w:rsid w:val="00EA552D"/>
    <w:rsid w:val="00EB12D8"/>
    <w:rsid w:val="00EE506B"/>
    <w:rsid w:val="00EF47E5"/>
    <w:rsid w:val="00F00F1E"/>
    <w:rsid w:val="00F20B59"/>
    <w:rsid w:val="00F86B22"/>
    <w:rsid w:val="00FB5930"/>
    <w:rsid w:val="00FC0FCD"/>
    <w:rsid w:val="00FC52C1"/>
    <w:rsid w:val="00FE3D9A"/>
    <w:rsid w:val="00FE41CE"/>
    <w:rsid w:val="01C04BD7"/>
    <w:rsid w:val="04195EA9"/>
    <w:rsid w:val="04895240"/>
    <w:rsid w:val="055C56CC"/>
    <w:rsid w:val="06A35B10"/>
    <w:rsid w:val="10E35261"/>
    <w:rsid w:val="10E90416"/>
    <w:rsid w:val="12134788"/>
    <w:rsid w:val="1EC74ACE"/>
    <w:rsid w:val="22F90D72"/>
    <w:rsid w:val="23B678C3"/>
    <w:rsid w:val="24A92285"/>
    <w:rsid w:val="28072BF4"/>
    <w:rsid w:val="28A14135"/>
    <w:rsid w:val="2BD45243"/>
    <w:rsid w:val="31361215"/>
    <w:rsid w:val="38803802"/>
    <w:rsid w:val="38A23330"/>
    <w:rsid w:val="3B173C6A"/>
    <w:rsid w:val="42772D60"/>
    <w:rsid w:val="442D6EBC"/>
    <w:rsid w:val="494A394A"/>
    <w:rsid w:val="4F6C259D"/>
    <w:rsid w:val="54637DFF"/>
    <w:rsid w:val="56DA53DB"/>
    <w:rsid w:val="5BEF6AD5"/>
    <w:rsid w:val="5D59038B"/>
    <w:rsid w:val="5D794C6F"/>
    <w:rsid w:val="5F730D06"/>
    <w:rsid w:val="5FF34948"/>
    <w:rsid w:val="698734AC"/>
    <w:rsid w:val="73780509"/>
    <w:rsid w:val="7EF01FC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qFormat="1" w:uiPriority="99" w:semiHidden="0"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qFormat="1" w:uiPriority="99" w:semiHidden="0"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qFormat="1" w:uiPriority="99"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semiHidden="0"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等线" w:hAnsi="等线" w:eastAsia="宋体" w:cs="Times New Roman"/>
      <w:kern w:val="2"/>
      <w:sz w:val="24"/>
      <w:szCs w:val="24"/>
      <w:lang w:val="en-US" w:eastAsia="zh-CN" w:bidi="ar-SA"/>
    </w:rPr>
  </w:style>
  <w:style w:type="character" w:default="1" w:styleId="8">
    <w:name w:val="Default Paragraph Font"/>
    <w:semiHidden/>
    <w:unhideWhenUsed/>
    <w:uiPriority w:val="1"/>
  </w:style>
  <w:style w:type="table" w:default="1" w:styleId="7">
    <w:name w:val="Normal Table"/>
    <w:semiHidden/>
    <w:unhideWhenUsed/>
    <w:uiPriority w:val="99"/>
    <w:tblPr>
      <w:tblCellMar>
        <w:top w:w="0" w:type="dxa"/>
        <w:left w:w="108" w:type="dxa"/>
        <w:bottom w:w="0" w:type="dxa"/>
        <w:right w:w="108" w:type="dxa"/>
      </w:tblCellMar>
    </w:tblPr>
  </w:style>
  <w:style w:type="paragraph" w:styleId="2">
    <w:name w:val="annotation text"/>
    <w:basedOn w:val="1"/>
    <w:link w:val="13"/>
    <w:unhideWhenUsed/>
    <w:qFormat/>
    <w:uiPriority w:val="99"/>
    <w:pPr>
      <w:jc w:val="left"/>
    </w:pPr>
  </w:style>
  <w:style w:type="paragraph" w:styleId="3">
    <w:name w:val="Balloon Text"/>
    <w:basedOn w:val="1"/>
    <w:link w:val="15"/>
    <w:unhideWhenUsed/>
    <w:qFormat/>
    <w:uiPriority w:val="99"/>
    <w:rPr>
      <w:sz w:val="18"/>
      <w:szCs w:val="18"/>
    </w:rPr>
  </w:style>
  <w:style w:type="paragraph" w:styleId="4">
    <w:name w:val="footer"/>
    <w:basedOn w:val="1"/>
    <w:link w:val="11"/>
    <w:unhideWhenUsed/>
    <w:qFormat/>
    <w:uiPriority w:val="99"/>
    <w:pPr>
      <w:tabs>
        <w:tab w:val="center" w:pos="4153"/>
        <w:tab w:val="right" w:pos="8306"/>
      </w:tabs>
      <w:snapToGrid w:val="0"/>
      <w:jc w:val="left"/>
    </w:pPr>
    <w:rPr>
      <w:sz w:val="18"/>
      <w:szCs w:val="18"/>
    </w:rPr>
  </w:style>
  <w:style w:type="paragraph" w:styleId="5">
    <w:name w:val="header"/>
    <w:basedOn w:val="1"/>
    <w:link w:val="10"/>
    <w:unhideWhenUsed/>
    <w:qFormat/>
    <w:uiPriority w:val="99"/>
    <w:pPr>
      <w:pBdr>
        <w:bottom w:val="single" w:color="auto" w:sz="6" w:space="1"/>
      </w:pBdr>
      <w:tabs>
        <w:tab w:val="center" w:pos="4153"/>
        <w:tab w:val="right" w:pos="8306"/>
      </w:tabs>
      <w:snapToGrid w:val="0"/>
      <w:jc w:val="center"/>
    </w:pPr>
    <w:rPr>
      <w:sz w:val="18"/>
      <w:szCs w:val="18"/>
    </w:rPr>
  </w:style>
  <w:style w:type="paragraph" w:styleId="6">
    <w:name w:val="annotation subject"/>
    <w:basedOn w:val="2"/>
    <w:next w:val="2"/>
    <w:link w:val="14"/>
    <w:unhideWhenUsed/>
    <w:qFormat/>
    <w:uiPriority w:val="99"/>
    <w:rPr>
      <w:b/>
      <w:bCs/>
    </w:rPr>
  </w:style>
  <w:style w:type="character" w:styleId="9">
    <w:name w:val="annotation reference"/>
    <w:basedOn w:val="8"/>
    <w:unhideWhenUsed/>
    <w:qFormat/>
    <w:uiPriority w:val="99"/>
    <w:rPr>
      <w:sz w:val="21"/>
      <w:szCs w:val="21"/>
    </w:rPr>
  </w:style>
  <w:style w:type="character" w:customStyle="1" w:styleId="10">
    <w:name w:val="页眉 字符"/>
    <w:basedOn w:val="8"/>
    <w:link w:val="5"/>
    <w:qFormat/>
    <w:uiPriority w:val="99"/>
    <w:rPr>
      <w:rFonts w:ascii="等线" w:hAnsi="等线" w:eastAsia="等线" w:cs="Times New Roman"/>
      <w:sz w:val="18"/>
      <w:szCs w:val="18"/>
    </w:rPr>
  </w:style>
  <w:style w:type="character" w:customStyle="1" w:styleId="11">
    <w:name w:val="页脚 字符"/>
    <w:basedOn w:val="8"/>
    <w:link w:val="4"/>
    <w:qFormat/>
    <w:uiPriority w:val="99"/>
    <w:rPr>
      <w:rFonts w:ascii="等线" w:hAnsi="等线" w:eastAsia="等线" w:cs="Times New Roman"/>
      <w:sz w:val="18"/>
      <w:szCs w:val="18"/>
    </w:rPr>
  </w:style>
  <w:style w:type="paragraph" w:customStyle="1" w:styleId="12">
    <w:name w:val="列表段落1"/>
    <w:basedOn w:val="1"/>
    <w:qFormat/>
    <w:uiPriority w:val="34"/>
    <w:pPr>
      <w:ind w:firstLine="420" w:firstLineChars="200"/>
    </w:pPr>
  </w:style>
  <w:style w:type="character" w:customStyle="1" w:styleId="13">
    <w:name w:val="批注文字 字符"/>
    <w:basedOn w:val="8"/>
    <w:link w:val="2"/>
    <w:qFormat/>
    <w:uiPriority w:val="99"/>
    <w:rPr>
      <w:rFonts w:ascii="等线" w:hAnsi="等线" w:eastAsia="等线" w:cs="Times New Roman"/>
      <w:szCs w:val="24"/>
    </w:rPr>
  </w:style>
  <w:style w:type="character" w:customStyle="1" w:styleId="14">
    <w:name w:val="批注主题 字符"/>
    <w:basedOn w:val="13"/>
    <w:link w:val="6"/>
    <w:semiHidden/>
    <w:qFormat/>
    <w:uiPriority w:val="99"/>
    <w:rPr>
      <w:rFonts w:ascii="等线" w:hAnsi="等线" w:eastAsia="等线" w:cs="Times New Roman"/>
      <w:b/>
      <w:bCs/>
      <w:szCs w:val="24"/>
    </w:rPr>
  </w:style>
  <w:style w:type="character" w:customStyle="1" w:styleId="15">
    <w:name w:val="批注框文本 字符"/>
    <w:basedOn w:val="8"/>
    <w:link w:val="3"/>
    <w:semiHidden/>
    <w:qFormat/>
    <w:uiPriority w:val="99"/>
    <w:rPr>
      <w:rFonts w:ascii="等线" w:hAnsi="等线" w:eastAsia="等线" w:cs="Times New Roman"/>
      <w:sz w:val="18"/>
      <w:szCs w:val="18"/>
    </w:rPr>
  </w:style>
  <w:style w:type="paragraph" w:customStyle="1" w:styleId="16">
    <w:name w:val="*正文"/>
    <w:basedOn w:val="1"/>
    <w:qFormat/>
    <w:uiPriority w:val="0"/>
    <w:pPr>
      <w:spacing w:line="500" w:lineRule="exact"/>
      <w:ind w:firstLine="200" w:firstLineChars="200"/>
    </w:pPr>
    <w:rPr>
      <w:rFonts w:ascii="宋体" w:hAnsi="宋体" w:eastAsia="楷体"/>
      <w:kern w:val="0"/>
    </w:rPr>
  </w:style>
  <w:style w:type="paragraph" w:customStyle="1" w:styleId="17">
    <w:name w:val="正文 New New New New New New New New New New New New New New New New New New New New New New New New New New New New New New New"/>
    <w:qFormat/>
    <w:uiPriority w:val="0"/>
    <w:pPr>
      <w:widowControl w:val="0"/>
      <w:jc w:val="both"/>
    </w:pPr>
    <w:rPr>
      <w:rFonts w:ascii="Times New Roman" w:hAnsi="Times New Roman" w:eastAsia="宋体" w:cs="Times New Roman"/>
      <w:kern w:val="2"/>
      <w:sz w:val="21"/>
      <w:lang w:val="en-US" w:eastAsia="zh-CN" w:bidi="ar-SA"/>
    </w:rPr>
  </w:style>
  <w:style w:type="paragraph" w:customStyle="1" w:styleId="18">
    <w:name w:val="修订1"/>
    <w:hidden/>
    <w:unhideWhenUsed/>
    <w:qFormat/>
    <w:uiPriority w:val="99"/>
    <w:rPr>
      <w:rFonts w:ascii="等线" w:hAnsi="等线" w:eastAsia="宋体" w:cs="Times New Roman"/>
      <w:kern w:val="2"/>
      <w:sz w:val="24"/>
      <w:szCs w:val="24"/>
      <w:lang w:val="en-US" w:eastAsia="zh-CN" w:bidi="ar-SA"/>
    </w:rPr>
  </w:style>
  <w:style w:type="paragraph" w:customStyle="1" w:styleId="19">
    <w:name w:val="修订2"/>
    <w:hidden/>
    <w:unhideWhenUsed/>
    <w:qFormat/>
    <w:uiPriority w:val="99"/>
    <w:rPr>
      <w:rFonts w:ascii="等线" w:hAnsi="等线" w:eastAsia="宋体" w:cs="Times New Roman"/>
      <w:kern w:val="2"/>
      <w:sz w:val="24"/>
      <w:szCs w:val="24"/>
      <w:lang w:val="en-US" w:eastAsia="zh-CN" w:bidi="ar-SA"/>
    </w:rPr>
  </w:style>
  <w:style w:type="paragraph" w:customStyle="1" w:styleId="20">
    <w:name w:val="Revision"/>
    <w:hidden/>
    <w:semiHidden/>
    <w:qFormat/>
    <w:uiPriority w:val="99"/>
    <w:rPr>
      <w:rFonts w:ascii="等线" w:hAnsi="等线" w:eastAsia="宋体" w:cs="Times New Roman"/>
      <w:kern w:val="2"/>
      <w:sz w:val="24"/>
      <w:szCs w:val="24"/>
      <w:lang w:val="en-US" w:eastAsia="zh-CN" w:bidi="ar-SA"/>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2.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54F44DA9-C8B5-4FCC-A165-EFF289C8EF47}">
  <ds:schemaRefs/>
</ds:datastoreItem>
</file>

<file path=docProps/app.xml><?xml version="1.0" encoding="utf-8"?>
<Properties xmlns="http://schemas.openxmlformats.org/officeDocument/2006/extended-properties" xmlns:vt="http://schemas.openxmlformats.org/officeDocument/2006/docPropsVTypes">
  <Template>Normal.dotm</Template>
  <Pages>19</Pages>
  <Words>12598</Words>
  <Characters>12649</Characters>
  <Lines>92</Lines>
  <Paragraphs>26</Paragraphs>
  <TotalTime>3</TotalTime>
  <ScaleCrop>false</ScaleCrop>
  <LinksUpToDate>false</LinksUpToDate>
  <CharactersWithSpaces>12828</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2025-04-22T01:38:00Z</dcterms:created>
  <dc:creator>E&amp;C</dc:creator>
  <cp:lastModifiedBy>admin</cp:lastModifiedBy>
  <dcterms:modified xsi:type="dcterms:W3CDTF">2025-04-22T03:12:02Z</dcterms:modified>
  <cp:revision>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195F721FD0394219909E7FB023BAB810_13</vt:lpwstr>
  </property>
  <property fmtid="{D5CDD505-2E9C-101B-9397-08002B2CF9AE}" pid="4" name="KSOTemplateDocerSaveRecord">
    <vt:lpwstr>eyJoZGlkIjoiOTc3M2Y5NzIzMDFlZjAyY2Q4Njk5ODkyYjFjNzBiNTQiLCJ1c2VySWQiOiIxOTE5NzU3NDIifQ==</vt:lpwstr>
  </property>
</Properties>
</file>